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Извещение </w:t>
      </w:r>
    </w:p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 проведении конкурентного отбора в электронной форме</w:t>
      </w:r>
    </w:p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АО «Челябинскгоргаз»</w:t>
      </w:r>
    </w:p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(реестровый номер закупки № </w:t>
      </w:r>
      <w:r w:rsidR="00BE7E3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1446</w:t>
      </w: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)</w:t>
      </w:r>
    </w:p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974"/>
      </w:tblGrid>
      <w:tr w:rsidR="00C67107" w:rsidRPr="00C67107" w:rsidTr="00C67107">
        <w:trPr>
          <w:trHeight w:val="576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Номер извещения: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34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Способ осуществления закупки: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Конкурентный отбор в электронной форме (далее – конкурентный отбор)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34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Участники конкурентного отбора</w:t>
            </w: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Участниками конкурентного отбора являются любые лица, указанные в части 5 статьи 3 Федеральный закон от 18.07.2011 № 223-ФЗ «О закупках товаров, работ, услуг отдельными видами юридических лиц», в том числе субъекты малого и среднего предпринимательства.</w:t>
            </w:r>
          </w:p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пп.а</w:t>
            </w:r>
            <w:proofErr w:type="spellEnd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</w:tc>
      </w:tr>
      <w:tr w:rsidR="00C67107" w:rsidRPr="00C67107" w:rsidTr="00C67107">
        <w:trPr>
          <w:trHeight w:val="68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Предмет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92568D" w:rsidRDefault="006136BA" w:rsidP="008E6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405">
              <w:rPr>
                <w:rFonts w:ascii="Times New Roman" w:hAnsi="Times New Roman" w:cs="Times New Roman"/>
                <w:sz w:val="20"/>
                <w:szCs w:val="20"/>
              </w:rPr>
              <w:t>Оказание услуг по подписке и доставке периодических печатных изданий на 1 полугодие 2022 г.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 (Организатор)</w:t>
            </w:r>
          </w:p>
        </w:tc>
      </w:tr>
      <w:tr w:rsidR="00C67107" w:rsidRPr="00C67107" w:rsidTr="00C67107">
        <w:trPr>
          <w:trHeight w:val="463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«Челябинскгоргаз»</w:t>
            </w:r>
          </w:p>
        </w:tc>
      </w:tr>
      <w:tr w:rsidR="00C67107" w:rsidRPr="00C67107" w:rsidTr="00C67107">
        <w:trPr>
          <w:trHeight w:val="463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Место нахождения: 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C67107" w:rsidRPr="00C67107" w:rsidTr="00C67107">
        <w:trPr>
          <w:trHeight w:val="387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Почтовый адрес: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C67107" w:rsidRPr="00C67107" w:rsidTr="00C67107">
        <w:trPr>
          <w:trHeight w:val="227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Адрес электронной почты: 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92568D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D.Zalyalyutdinova</w:t>
            </w:r>
            <w:r w:rsidR="00C67107" w:rsidRPr="00C67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@chelgaz.ru</w:t>
            </w:r>
          </w:p>
        </w:tc>
      </w:tr>
      <w:tr w:rsidR="00C67107" w:rsidRPr="00C67107" w:rsidTr="00C67107">
        <w:trPr>
          <w:trHeight w:val="110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Номер контактного телефона: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92568D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(351)</w:t>
            </w:r>
            <w:r w:rsidR="0092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232-01-57</w:t>
            </w:r>
          </w:p>
        </w:tc>
      </w:tr>
      <w:tr w:rsidR="00C67107" w:rsidRPr="00C67107" w:rsidTr="00C67107">
        <w:trPr>
          <w:trHeight w:val="17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Контактное лицо: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92568D" w:rsidP="0092568D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Залялютдинова Дина Галимьяновна</w:t>
            </w:r>
          </w:p>
        </w:tc>
      </w:tr>
      <w:tr w:rsidR="00C67107" w:rsidRPr="00C67107" w:rsidTr="00C67107">
        <w:trPr>
          <w:trHeight w:val="391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C67107" w:rsidRPr="00C67107" w:rsidTr="00C67107">
        <w:trPr>
          <w:trHeight w:val="37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6974" w:type="dxa"/>
          </w:tcPr>
          <w:p w:rsidR="00C67107" w:rsidRPr="00C67107" w:rsidRDefault="00553405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405">
              <w:rPr>
                <w:rFonts w:ascii="Times New Roman" w:hAnsi="Times New Roman" w:cs="Times New Roman"/>
                <w:sz w:val="20"/>
                <w:szCs w:val="20"/>
              </w:rPr>
              <w:t>Оказание услуг по подписке и доставке периодических печатных изданий на 1 полугодие 2022 г.</w:t>
            </w:r>
          </w:p>
        </w:tc>
      </w:tr>
      <w:tr w:rsidR="00C67107" w:rsidRPr="00C67107" w:rsidTr="00CB7686">
        <w:trPr>
          <w:trHeight w:val="1883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количество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W w:w="6430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1"/>
              <w:gridCol w:w="3430"/>
              <w:gridCol w:w="1134"/>
              <w:gridCol w:w="1095"/>
            </w:tblGrid>
            <w:tr w:rsidR="00C67107" w:rsidRPr="00C67107" w:rsidTr="00C67107">
              <w:trPr>
                <w:trHeight w:val="430"/>
                <w:tblHeader/>
              </w:trPr>
              <w:tc>
                <w:tcPr>
                  <w:tcW w:w="771" w:type="dxa"/>
                  <w:shd w:val="clear" w:color="auto" w:fill="auto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3430" w:type="dxa"/>
                </w:tcPr>
                <w:p w:rsidR="00C67107" w:rsidRPr="00C67107" w:rsidRDefault="00C67107" w:rsidP="00C6710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Наименование товара (работы, услуги)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</w:p>
              </w:tc>
            </w:tr>
            <w:tr w:rsidR="00C67107" w:rsidRPr="00C67107" w:rsidTr="00C67107">
              <w:trPr>
                <w:trHeight w:val="241"/>
              </w:trPr>
              <w:tc>
                <w:tcPr>
                  <w:tcW w:w="771" w:type="dxa"/>
                  <w:shd w:val="clear" w:color="auto" w:fill="auto"/>
                  <w:vAlign w:val="center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430" w:type="dxa"/>
                  <w:vAlign w:val="center"/>
                </w:tcPr>
                <w:p w:rsidR="00C67107" w:rsidRPr="00FB2FF6" w:rsidRDefault="00553405" w:rsidP="00C671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</w:pPr>
                  <w:r w:rsidRPr="00553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Оказание услуг по подписке и доставке периодических печатных изданий на 1 полугодие 2022 г.</w:t>
                  </w:r>
                </w:p>
              </w:tc>
              <w:tc>
                <w:tcPr>
                  <w:tcW w:w="1134" w:type="dxa"/>
                  <w:vAlign w:val="center"/>
                </w:tcPr>
                <w:p w:rsidR="00C67107" w:rsidRPr="00FB2FF6" w:rsidRDefault="00CB7686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усл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. ед.</w:t>
                  </w:r>
                </w:p>
              </w:tc>
              <w:tc>
                <w:tcPr>
                  <w:tcW w:w="1095" w:type="dxa"/>
                  <w:vAlign w:val="center"/>
                </w:tcPr>
                <w:p w:rsidR="00C67107" w:rsidRPr="00FB2FF6" w:rsidRDefault="00CB7686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C67107" w:rsidRPr="00C67107" w:rsidRDefault="00C67107" w:rsidP="00CB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0"/>
          </w:p>
        </w:tc>
      </w:tr>
      <w:tr w:rsidR="00C67107" w:rsidRPr="00C67107" w:rsidTr="00C67107">
        <w:trPr>
          <w:trHeight w:val="37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поставки товара, выполнения работы, оказания услуги: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место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1"/>
            <w:r w:rsidRPr="00C6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</w:t>
            </w:r>
            <w:r w:rsidR="00EF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</w:p>
        </w:tc>
      </w:tr>
      <w:tr w:rsidR="00C67107" w:rsidRPr="00C67107" w:rsidTr="00C67107">
        <w:trPr>
          <w:trHeight w:val="883"/>
        </w:trPr>
        <w:tc>
          <w:tcPr>
            <w:tcW w:w="2874" w:type="dxa"/>
            <w:tcBorders>
              <w:bottom w:val="single" w:sz="4" w:space="0" w:color="auto"/>
            </w:tcBorders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Сроки поставки товара, выполнения работы, оказания услуги: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:rsidR="00C67107" w:rsidRPr="00C67107" w:rsidRDefault="00C67107" w:rsidP="00C67107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сроки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2"/>
          </w:p>
          <w:p w:rsidR="006C2958" w:rsidRPr="00C67107" w:rsidRDefault="00C67107" w:rsidP="00C67107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D5403" w:rsidRPr="0092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ачало оказания услуг – </w:t>
            </w:r>
            <w:r w:rsidR="006136BA">
              <w:rPr>
                <w:rFonts w:ascii="Times New Roman" w:hAnsi="Times New Roman" w:cs="Times New Roman"/>
                <w:sz w:val="24"/>
                <w:szCs w:val="24"/>
              </w:rPr>
              <w:t>с 01.01.2022 г. по 30.06.2022 г. включительно.</w:t>
            </w:r>
          </w:p>
        </w:tc>
      </w:tr>
      <w:tr w:rsidR="00C67107" w:rsidRPr="00C67107" w:rsidTr="00C67107">
        <w:trPr>
          <w:trHeight w:val="682"/>
        </w:trPr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112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Начальная (максимальная) цена Договора для Участников конкурентного отбора, не освобожденных от уплаты НДС (с НДС 20%):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07" w:rsidRPr="00C67107" w:rsidRDefault="00553405" w:rsidP="00553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219 899,95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НДС 20%</w:t>
            </w:r>
          </w:p>
        </w:tc>
      </w:tr>
      <w:tr w:rsidR="00C67107" w:rsidRPr="00C67107" w:rsidTr="00C67107">
        <w:trPr>
          <w:trHeight w:val="2001"/>
        </w:trPr>
        <w:tc>
          <w:tcPr>
            <w:tcW w:w="28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Начальная (максимальная) цена Договора для Участников конкурентного отбора, использующих право на освобождение от уплаты НДС или не являющихся налогоплательщиками НДС (без НДС):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C67107" w:rsidRPr="00C67107" w:rsidRDefault="00553405" w:rsidP="008E6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183 249,96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НДС</w:t>
            </w:r>
          </w:p>
        </w:tc>
      </w:tr>
      <w:tr w:rsidR="00C67107" w:rsidRPr="00C67107" w:rsidTr="00C67107">
        <w:trPr>
          <w:trHeight w:val="1158"/>
        </w:trPr>
        <w:tc>
          <w:tcPr>
            <w:tcW w:w="28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Сведения о начальной (максимальной) цене единицы каждого товара, работы, услуги, являющихся предметом конкурентного отбора: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цена_единицы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Style w:val="a3"/>
              <w:tblW w:w="6826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529"/>
              <w:gridCol w:w="1830"/>
              <w:gridCol w:w="2013"/>
            </w:tblGrid>
            <w:tr w:rsidR="00C67107" w:rsidRPr="00C67107" w:rsidTr="00C67107">
              <w:tc>
                <w:tcPr>
                  <w:tcW w:w="454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№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529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Наименование товара (работы, услуги)</w:t>
                  </w:r>
                </w:p>
              </w:tc>
              <w:tc>
                <w:tcPr>
                  <w:tcW w:w="1830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Начальная (максимальная) цена единицы товара (работы, услуги),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с НДС 20%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(для Участников конкурентного отбора, не освобожденных от уплаты НДС (с НДС 20%), руб.</w:t>
                  </w:r>
                </w:p>
              </w:tc>
              <w:tc>
                <w:tcPr>
                  <w:tcW w:w="2013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Начальная (максимальная) цена единицы товара (работы, услуги),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без НДС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(для Участников конкурентного отбора,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C67107" w:rsidRPr="00C67107" w:rsidTr="00912112">
              <w:tc>
                <w:tcPr>
                  <w:tcW w:w="454" w:type="dxa"/>
                  <w:shd w:val="clear" w:color="auto" w:fill="auto"/>
                  <w:vAlign w:val="center"/>
                </w:tcPr>
                <w:p w:rsidR="00C67107" w:rsidRPr="00C67107" w:rsidRDefault="00C67107" w:rsidP="00C67107">
                  <w:pPr>
                    <w:spacing w:after="0"/>
                    <w:jc w:val="center"/>
                  </w:pPr>
                  <w:r w:rsidRPr="00C67107">
                    <w:t>1</w:t>
                  </w:r>
                </w:p>
              </w:tc>
              <w:tc>
                <w:tcPr>
                  <w:tcW w:w="2529" w:type="dxa"/>
                  <w:vAlign w:val="center"/>
                </w:tcPr>
                <w:p w:rsidR="00C67107" w:rsidRPr="00C67107" w:rsidRDefault="00553405" w:rsidP="00482F7D">
                  <w:pPr>
                    <w:spacing w:after="0"/>
                    <w:jc w:val="left"/>
                    <w:rPr>
                      <w:color w:val="808080"/>
                      <w:spacing w:val="10"/>
                    </w:rPr>
                  </w:pPr>
                  <w:r w:rsidRPr="00553405">
                    <w:t>Оказание услуг по подписке и доставке периодических печатных изданий на 1 полугодие 2022 г.</w:t>
                  </w:r>
                </w:p>
              </w:tc>
              <w:tc>
                <w:tcPr>
                  <w:tcW w:w="1830" w:type="dxa"/>
                  <w:vAlign w:val="center"/>
                </w:tcPr>
                <w:p w:rsidR="00C67107" w:rsidRPr="00C67107" w:rsidRDefault="00553405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>
                    <w:t>219 899,95</w:t>
                  </w:r>
                </w:p>
              </w:tc>
              <w:tc>
                <w:tcPr>
                  <w:tcW w:w="2013" w:type="dxa"/>
                  <w:vAlign w:val="center"/>
                </w:tcPr>
                <w:p w:rsidR="00C67107" w:rsidRPr="00C67107" w:rsidRDefault="00553405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>
                    <w:t>183 249,96</w:t>
                  </w:r>
                </w:p>
              </w:tc>
            </w:tr>
          </w:tbl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bookmarkEnd w:id="3"/>
          </w:p>
        </w:tc>
      </w:tr>
      <w:tr w:rsidR="00C67107" w:rsidRPr="00C67107" w:rsidTr="00C67107">
        <w:trPr>
          <w:trHeight w:val="1158"/>
        </w:trPr>
        <w:tc>
          <w:tcPr>
            <w:tcW w:w="28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Обоснование начальной (максимальной) цены Договора либо цены единицы товара, работы, услуги:</w:t>
            </w: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4" w:name="Обоснование_НМЦ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Метод сопоставимых рыночных цен (анализ рынка).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 3.2.1. Положения о закупках товаров, работ, услуг АО «Челябинскгоргаз»)</w:t>
            </w:r>
            <w:bookmarkEnd w:id="4"/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предоставлении Документации о конкурентном отборе в электронной форме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даты окончания срока подачи Заявок на участие в конкурентном отборе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Сайт единой информационной системы: </w:t>
            </w:r>
            <w:hyperlink r:id="rId4" w:history="1">
              <w:r w:rsidRPr="00C6710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</w:t>
              </w:r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zakupki.gov.ru</w:t>
              </w:r>
            </w:hyperlink>
          </w:p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Сайт электронной площадки: </w:t>
            </w:r>
            <w:hyperlink r:id="rId5" w:history="1"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https://etp</w:t>
              </w:r>
              <w:proofErr w:type="spellStart"/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val="en-US" w:eastAsia="ru-RU"/>
                </w:rPr>
                <w:t>gpb</w:t>
              </w:r>
              <w:proofErr w:type="spellEnd"/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Порядок подачи заявок на участие в конкурентном отборе 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 размещения Извещения о проведении конкурентного отбора в единой информационной системе: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Порядок подачи заявок на участие в конкурентном отборе: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 на участие в конкурентном отборе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конкурентного отбора, с использованием функционала электронной площадки (https://etpgpb.ru).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 на участие в конкурентном отборе содержится в Документации о конкурентном отборе в электронной форме.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Дата начала, дата и время окончания срока подачи заявок </w:t>
            </w: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на участие в конкурентном отборе: 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Дата начала срока подачи заявок: </w:t>
            </w:r>
          </w:p>
          <w:p w:rsidR="00C67107" w:rsidRPr="00C67107" w:rsidRDefault="00BE7E3E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" w:name="дата_начала_подачи_заявок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14.12</w:t>
            </w:r>
            <w:r w:rsidR="00C62A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.2021 г. (00:00ч)</w:t>
            </w:r>
          </w:p>
          <w:bookmarkEnd w:id="5"/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срока подачи заявок:</w:t>
            </w:r>
          </w:p>
          <w:p w:rsidR="00C67107" w:rsidRPr="00C67107" w:rsidRDefault="00BE7E3E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6" w:name="дата_окончания_подачи_заявок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21.12</w:t>
            </w:r>
            <w:r w:rsidR="00C62A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.2021 г.</w:t>
            </w:r>
          </w:p>
          <w:p w:rsidR="00C67107" w:rsidRPr="00C67107" w:rsidRDefault="00C62ADE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E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минут (по челябинскому времени).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E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 </w:t>
            </w:r>
            <w:r w:rsidR="00C62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минут (по московскому времени).</w:t>
            </w:r>
          </w:p>
          <w:bookmarkEnd w:id="6"/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Информация о конкурентном отборе, порядок подведения итогов конкурентного отбора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открытия доступа к заявкам, поданным в форме электронных документов, на участие в конкурентном отборе: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 и время открытия доступа к заявкам на участие в конкурентном отборе, поданным в форме электронных документов: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BE7E3E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21.12</w:t>
            </w:r>
            <w:r w:rsidR="00C62A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.2021 г. </w:t>
            </w:r>
          </w:p>
          <w:p w:rsidR="00C67107" w:rsidRPr="00C67107" w:rsidRDefault="00BE7E3E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C62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 0</w:t>
            </w:r>
            <w:r w:rsidR="00C62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минут (по челябинскому времени).</w:t>
            </w:r>
          </w:p>
          <w:p w:rsidR="00C67107" w:rsidRPr="00C67107" w:rsidRDefault="00C62ADE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E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минут (по московскому времени).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Дата рассмотрения, оценки и сопоставления </w:t>
            </w:r>
            <w:proofErr w:type="gramStart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заявок,  подведения</w:t>
            </w:r>
            <w:proofErr w:type="gramEnd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shd w:val="clear" w:color="auto" w:fill="auto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Рассмотрение, оценка и сопоставление заявок на участие в конкурентном отборе, подведение итогов конкурентного отбора проводятся одновременно </w:t>
            </w:r>
            <w:bookmarkStart w:id="7" w:name="дата_рассмотрения"/>
            <w:r w:rsidR="00BE7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24.12</w:t>
            </w:r>
            <w:r w:rsidR="00C62A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.2021г. (1</w:t>
            </w:r>
            <w:r w:rsidR="00BE7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bookmarkStart w:id="8" w:name="_GoBack"/>
            <w:bookmarkEnd w:id="8"/>
            <w:r w:rsidR="00C62A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:00)</w:t>
            </w:r>
          </w:p>
          <w:bookmarkEnd w:id="7"/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Место рассмотрения, оценки и сопоставления </w:t>
            </w:r>
            <w:proofErr w:type="gramStart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заявок,  подведения</w:t>
            </w:r>
            <w:proofErr w:type="gramEnd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shd w:val="clear" w:color="auto" w:fill="auto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Челябинск, ул. Рылеева, д. 8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Порядок рассмотрения, оценки и сопоставления </w:t>
            </w:r>
            <w:proofErr w:type="gramStart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заявок,  подведения</w:t>
            </w:r>
            <w:proofErr w:type="gramEnd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shd w:val="clear" w:color="auto" w:fill="auto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рассмотрения, оценки и сопоставления заявок, подведения итогов конкурентного отбора содержится в Документации о конкурентном отборе в электронной форме.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Требование о предоставлении обеспечения заявки на участие в конкурентном отборе: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Требование о предоставлении обеспечения исполнения условий Договора: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(Организатор) вправе вносить изменения в извещение о проведении конкурентного отбора в электронной форме и документацию о конкурентном отборе в электронной форме в любое время до истечения срока подачи заявок на участие в конкурентном отборе.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(Организатор)  вправе продлить срок подачи заявок на участие в конкурентном отборе и соответственно перенести дату и время проведения процедуры открытия доступа к заявкам на участие в конкурентном отборе, поданным в форме электронных документов,  в любое время до проведения процедуры открытия доступа к заявкам на участие в конкурентном отборе, а также до подведения итогов конкурентного отбора изменить дату рассмотрения, оценки и сопоставления заявок,  подведения итогов конкурентного отбора.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(Организатор) вправе отменить конкурентный отбор или завершить процедуру конкурентного отбора без заключения договора.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AA071C" w:rsidRDefault="00AA071C"/>
    <w:sectPr w:rsidR="00AA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5A"/>
    <w:rsid w:val="00002457"/>
    <w:rsid w:val="00042B84"/>
    <w:rsid w:val="0021293C"/>
    <w:rsid w:val="003156D9"/>
    <w:rsid w:val="00482F7D"/>
    <w:rsid w:val="00553405"/>
    <w:rsid w:val="006136BA"/>
    <w:rsid w:val="006C2958"/>
    <w:rsid w:val="008D5403"/>
    <w:rsid w:val="008E60BB"/>
    <w:rsid w:val="00912112"/>
    <w:rsid w:val="0092568D"/>
    <w:rsid w:val="00991871"/>
    <w:rsid w:val="00AA071C"/>
    <w:rsid w:val="00BE7E3E"/>
    <w:rsid w:val="00C62ADE"/>
    <w:rsid w:val="00C67107"/>
    <w:rsid w:val="00CB7686"/>
    <w:rsid w:val="00D46485"/>
    <w:rsid w:val="00E0605A"/>
    <w:rsid w:val="00EF331A"/>
    <w:rsid w:val="00FB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27CF7-6215-4BA7-852E-7972FB2A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107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13</cp:revision>
  <dcterms:created xsi:type="dcterms:W3CDTF">2021-08-31T05:57:00Z</dcterms:created>
  <dcterms:modified xsi:type="dcterms:W3CDTF">2021-12-13T11:32:00Z</dcterms:modified>
</cp:coreProperties>
</file>