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149">
        <w:rPr>
          <w:rFonts w:ascii="Times New Roman" w:hAnsi="Times New Roman" w:cs="Times New Roman"/>
          <w:b/>
          <w:sz w:val="24"/>
          <w:szCs w:val="24"/>
        </w:rPr>
        <w:t>1341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417149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A941AA" w:rsidP="00D850E4">
            <w:pPr>
              <w:pStyle w:val="ad"/>
            </w:pPr>
            <w:r w:rsidRPr="00A941AA"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Курчатовский район, пос. Миасский, ул. Матросова, 31. Технологическое присоединение».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A941AA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AA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Курчатовский район, пос. Миасский, ул. Матросова, 31</w:t>
            </w:r>
            <w:r w:rsidR="00D850E4" w:rsidRPr="00D85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A941AA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AA">
              <w:rPr>
                <w:rFonts w:ascii="Times New Roman" w:hAnsi="Times New Roman" w:cs="Times New Roman"/>
                <w:sz w:val="24"/>
                <w:szCs w:val="24"/>
              </w:rPr>
              <w:t>259 779.31</w:t>
            </w:r>
            <w:r w:rsidR="00D85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A941AA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1AA">
              <w:rPr>
                <w:rFonts w:ascii="Times New Roman" w:hAnsi="Times New Roman" w:cs="Times New Roman"/>
                <w:sz w:val="24"/>
                <w:szCs w:val="24"/>
              </w:rPr>
              <w:t>216 482.76</w:t>
            </w:r>
            <w:r w:rsidR="00D850E4" w:rsidRPr="00D85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24" w:rsidRDefault="00C52A24" w:rsidP="003B4EA8">
      <w:pPr>
        <w:spacing w:after="0" w:line="240" w:lineRule="auto"/>
      </w:pPr>
      <w:r>
        <w:separator/>
      </w:r>
    </w:p>
  </w:endnote>
  <w:endnote w:type="continuationSeparator" w:id="0">
    <w:p w:rsidR="00C52A24" w:rsidRDefault="00C52A24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24" w:rsidRDefault="00C52A24" w:rsidP="003B4EA8">
      <w:pPr>
        <w:spacing w:after="0" w:line="240" w:lineRule="auto"/>
      </w:pPr>
      <w:r>
        <w:separator/>
      </w:r>
    </w:p>
  </w:footnote>
  <w:footnote w:type="continuationSeparator" w:id="0">
    <w:p w:rsidR="00C52A24" w:rsidRDefault="00C52A24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6040E"/>
    <w:rsid w:val="003371C3"/>
    <w:rsid w:val="003B139D"/>
    <w:rsid w:val="003B4EA8"/>
    <w:rsid w:val="003C65E2"/>
    <w:rsid w:val="00417149"/>
    <w:rsid w:val="00462041"/>
    <w:rsid w:val="00464823"/>
    <w:rsid w:val="00487CE7"/>
    <w:rsid w:val="004F7F00"/>
    <w:rsid w:val="00512487"/>
    <w:rsid w:val="005A0E55"/>
    <w:rsid w:val="005B329E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825D0"/>
    <w:rsid w:val="00A941AA"/>
    <w:rsid w:val="00AB47CE"/>
    <w:rsid w:val="00AB536F"/>
    <w:rsid w:val="00B177BD"/>
    <w:rsid w:val="00B47C0D"/>
    <w:rsid w:val="00B76B76"/>
    <w:rsid w:val="00B85509"/>
    <w:rsid w:val="00BA7FA2"/>
    <w:rsid w:val="00BD1E0A"/>
    <w:rsid w:val="00C01C95"/>
    <w:rsid w:val="00C03EBA"/>
    <w:rsid w:val="00C52A24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14</cp:revision>
  <cp:lastPrinted>2020-10-02T04:03:00Z</cp:lastPrinted>
  <dcterms:created xsi:type="dcterms:W3CDTF">2020-10-27T06:31:00Z</dcterms:created>
  <dcterms:modified xsi:type="dcterms:W3CDTF">2021-07-29T05:56:00Z</dcterms:modified>
</cp:coreProperties>
</file>