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w:t>
      </w:r>
      <w:r w:rsidR="009C598E">
        <w:rPr>
          <w:b/>
          <w:caps/>
          <w:sz w:val="21"/>
          <w:szCs w:val="21"/>
        </w:rPr>
        <w:t>Выполнения</w:t>
      </w:r>
      <w:r w:rsidR="009C598E" w:rsidRPr="009C598E">
        <w:rPr>
          <w:b/>
          <w:caps/>
          <w:sz w:val="21"/>
          <w:szCs w:val="21"/>
        </w:rPr>
        <w:t xml:space="preserve"> работ инженерно-геодезических по контрольно-исполнительной съемке и по разбивке трассы газопровода</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E55F81">
        <w:rPr>
          <w:b/>
          <w:caps/>
          <w:sz w:val="21"/>
          <w:szCs w:val="21"/>
          <w:highlight w:val="yellow"/>
        </w:rPr>
        <w:t>1448</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6D39EC"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9C598E" w:rsidP="00D87239">
            <w:pPr>
              <w:jc w:val="both"/>
              <w:rPr>
                <w:sz w:val="20"/>
                <w:szCs w:val="20"/>
              </w:rPr>
            </w:pPr>
            <w:r w:rsidRPr="009C598E">
              <w:t>Выполнение работ инженерно-геодезических по контрольно-исполнительной съемке и по разбивке трассы газопровода</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412697" w:rsidP="009D51D6">
            <w:pPr>
              <w:jc w:val="both"/>
              <w:rPr>
                <w:sz w:val="20"/>
                <w:szCs w:val="20"/>
              </w:rPr>
            </w:pPr>
            <w:r w:rsidRPr="00412697">
              <w:rPr>
                <w:color w:val="000000" w:themeColor="text1"/>
              </w:rPr>
              <w:t>171 729,43</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412697" w:rsidP="009D51D6">
            <w:pPr>
              <w:jc w:val="both"/>
              <w:rPr>
                <w:sz w:val="20"/>
                <w:szCs w:val="20"/>
              </w:rPr>
            </w:pPr>
            <w:r w:rsidRPr="00412697">
              <w:rPr>
                <w:szCs w:val="20"/>
              </w:rPr>
              <w:t>143 107,86</w:t>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tbl>
            <w:tblPr>
              <w:tblStyle w:val="affff5"/>
              <w:tblW w:w="6629" w:type="dxa"/>
              <w:tblLayout w:type="fixed"/>
              <w:tblLook w:val="04A0" w:firstRow="1" w:lastRow="0" w:firstColumn="1" w:lastColumn="0" w:noHBand="0" w:noVBand="1"/>
            </w:tblPr>
            <w:tblGrid>
              <w:gridCol w:w="454"/>
              <w:gridCol w:w="2715"/>
              <w:gridCol w:w="1559"/>
              <w:gridCol w:w="1901"/>
            </w:tblGrid>
            <w:tr w:rsidR="00BC2353" w:rsidRPr="00A15913" w:rsidTr="0025461D">
              <w:tc>
                <w:tcPr>
                  <w:tcW w:w="454" w:type="dxa"/>
                </w:tcPr>
                <w:p w:rsidR="00BC2353" w:rsidRPr="00A15913" w:rsidRDefault="00BC2353" w:rsidP="00BC2353">
                  <w:pPr>
                    <w:ind w:left="-57" w:right="-57"/>
                    <w:jc w:val="center"/>
                    <w:rPr>
                      <w:sz w:val="16"/>
                      <w:szCs w:val="16"/>
                    </w:rPr>
                  </w:pPr>
                  <w:r w:rsidRPr="00A15913">
                    <w:rPr>
                      <w:sz w:val="16"/>
                      <w:szCs w:val="16"/>
                    </w:rPr>
                    <w:t>№</w:t>
                  </w:r>
                </w:p>
                <w:p w:rsidR="00BC2353" w:rsidRPr="00A15913" w:rsidRDefault="00BC2353" w:rsidP="00BC2353">
                  <w:pPr>
                    <w:ind w:left="-57" w:right="-57"/>
                    <w:jc w:val="center"/>
                    <w:rPr>
                      <w:sz w:val="16"/>
                      <w:szCs w:val="16"/>
                    </w:rPr>
                  </w:pPr>
                  <w:r w:rsidRPr="00A15913">
                    <w:rPr>
                      <w:sz w:val="16"/>
                      <w:szCs w:val="16"/>
                    </w:rPr>
                    <w:t>п/п</w:t>
                  </w:r>
                </w:p>
              </w:tc>
              <w:tc>
                <w:tcPr>
                  <w:tcW w:w="2715" w:type="dxa"/>
                </w:tcPr>
                <w:p w:rsidR="00BC2353" w:rsidRPr="00295F5E" w:rsidRDefault="00BC2353" w:rsidP="00BC2353">
                  <w:pPr>
                    <w:ind w:left="-57" w:right="-57"/>
                    <w:jc w:val="center"/>
                    <w:rPr>
                      <w:sz w:val="16"/>
                      <w:szCs w:val="16"/>
                    </w:rPr>
                  </w:pPr>
                  <w:r w:rsidRPr="00295F5E">
                    <w:rPr>
                      <w:sz w:val="16"/>
                      <w:szCs w:val="16"/>
                    </w:rPr>
                    <w:t>Наименование товара</w:t>
                  </w:r>
                  <w:r>
                    <w:rPr>
                      <w:sz w:val="16"/>
                      <w:szCs w:val="16"/>
                    </w:rPr>
                    <w:t>, работы, услуги</w:t>
                  </w:r>
                </w:p>
              </w:tc>
              <w:tc>
                <w:tcPr>
                  <w:tcW w:w="1559" w:type="dxa"/>
                </w:tcPr>
                <w:p w:rsidR="00BC2353" w:rsidRPr="00295F5E" w:rsidRDefault="00BC2353" w:rsidP="00BC2353">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BC2353" w:rsidRPr="00295F5E" w:rsidRDefault="00BC2353" w:rsidP="00BC2353">
                  <w:pPr>
                    <w:ind w:left="-57" w:right="-57"/>
                    <w:jc w:val="center"/>
                    <w:rPr>
                      <w:sz w:val="16"/>
                      <w:szCs w:val="16"/>
                    </w:rPr>
                  </w:pPr>
                  <w:r w:rsidRPr="00295F5E">
                    <w:rPr>
                      <w:sz w:val="16"/>
                      <w:szCs w:val="16"/>
                    </w:rPr>
                    <w:t>с НДС 20%</w:t>
                  </w:r>
                </w:p>
                <w:p w:rsidR="00BC2353" w:rsidRPr="00295F5E" w:rsidRDefault="00BC2353" w:rsidP="00BC2353">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BC2353" w:rsidRPr="00295F5E" w:rsidRDefault="00BC2353" w:rsidP="00BC2353">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BC2353" w:rsidRPr="00295F5E" w:rsidRDefault="00BC2353" w:rsidP="00BC2353">
                  <w:pPr>
                    <w:ind w:left="-57" w:right="-57"/>
                    <w:jc w:val="center"/>
                    <w:rPr>
                      <w:sz w:val="16"/>
                      <w:szCs w:val="16"/>
                    </w:rPr>
                  </w:pPr>
                  <w:r w:rsidRPr="00295F5E">
                    <w:rPr>
                      <w:sz w:val="16"/>
                      <w:szCs w:val="16"/>
                    </w:rPr>
                    <w:t>без НДС</w:t>
                  </w:r>
                </w:p>
                <w:p w:rsidR="00BC2353" w:rsidRPr="00295F5E" w:rsidRDefault="00BC2353" w:rsidP="00BC2353">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BC2353" w:rsidRPr="00A15913" w:rsidTr="0025461D">
              <w:tc>
                <w:tcPr>
                  <w:tcW w:w="454" w:type="dxa"/>
                </w:tcPr>
                <w:p w:rsidR="00BC2353" w:rsidRPr="00A15913" w:rsidRDefault="00BC2353" w:rsidP="00BC2353">
                  <w:pPr>
                    <w:ind w:left="-57" w:right="-57"/>
                    <w:rPr>
                      <w:sz w:val="16"/>
                      <w:szCs w:val="16"/>
                    </w:rPr>
                  </w:pPr>
                  <w:r w:rsidRPr="00A15913">
                    <w:rPr>
                      <w:sz w:val="16"/>
                      <w:szCs w:val="16"/>
                    </w:rPr>
                    <w:t>1.</w:t>
                  </w:r>
                </w:p>
              </w:tc>
              <w:tc>
                <w:tcPr>
                  <w:tcW w:w="2715" w:type="dxa"/>
                  <w:vAlign w:val="center"/>
                </w:tcPr>
                <w:p w:rsidR="00BC2353" w:rsidRPr="00A15913" w:rsidRDefault="00BC2353" w:rsidP="00BC2353">
                  <w:pPr>
                    <w:jc w:val="left"/>
                    <w:rPr>
                      <w:sz w:val="20"/>
                      <w:szCs w:val="20"/>
                    </w:rPr>
                  </w:pPr>
                  <w:r w:rsidRPr="0026181F">
                    <w:t>Выполнение работ инженерно-геодезических по разбивке трассы газопровода и испо</w:t>
                  </w:r>
                  <w:r>
                    <w:t>лнительной съемке</w:t>
                  </w:r>
                </w:p>
              </w:tc>
              <w:tc>
                <w:tcPr>
                  <w:tcW w:w="1559" w:type="dxa"/>
                  <w:vAlign w:val="center"/>
                </w:tcPr>
                <w:p w:rsidR="00BC2353" w:rsidRPr="00A15913" w:rsidRDefault="00BC2353" w:rsidP="00BC2353">
                  <w:pPr>
                    <w:ind w:left="-57" w:right="-57"/>
                    <w:jc w:val="center"/>
                    <w:rPr>
                      <w:sz w:val="16"/>
                      <w:szCs w:val="16"/>
                    </w:rPr>
                  </w:pPr>
                  <w:r w:rsidRPr="00412697">
                    <w:rPr>
                      <w:color w:val="000000" w:themeColor="text1"/>
                    </w:rPr>
                    <w:t>171 729,43</w:t>
                  </w:r>
                </w:p>
              </w:tc>
              <w:tc>
                <w:tcPr>
                  <w:tcW w:w="1901" w:type="dxa"/>
                  <w:vAlign w:val="center"/>
                </w:tcPr>
                <w:p w:rsidR="00BC2353" w:rsidRPr="0039333B" w:rsidRDefault="00BC2353" w:rsidP="00BC2353">
                  <w:pPr>
                    <w:jc w:val="center"/>
                    <w:rPr>
                      <w:sz w:val="20"/>
                      <w:szCs w:val="20"/>
                    </w:rPr>
                  </w:pPr>
                  <w:r w:rsidRPr="00412697">
                    <w:rPr>
                      <w:szCs w:val="20"/>
                    </w:rPr>
                    <w:t>143 107,86</w:t>
                  </w:r>
                </w:p>
              </w:tc>
            </w:tr>
          </w:tbl>
          <w:p w:rsidR="009D51D6" w:rsidRPr="00A15913" w:rsidRDefault="009D51D6" w:rsidP="009D51D6">
            <w:pPr>
              <w:jc w:val="both"/>
              <w:rPr>
                <w:sz w:val="20"/>
                <w:szCs w:val="20"/>
              </w:rPr>
            </w:pP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Требования к описанию Участниками маркетинговых </w:t>
            </w:r>
            <w:r w:rsidRPr="00A15913">
              <w:rPr>
                <w:sz w:val="20"/>
                <w:szCs w:val="20"/>
              </w:rPr>
              <w:lastRenderedPageBreak/>
              <w:t>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lastRenderedPageBreak/>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w:t>
            </w:r>
            <w:r w:rsidRPr="00A15913">
              <w:rPr>
                <w:sz w:val="20"/>
                <w:szCs w:val="20"/>
              </w:rPr>
              <w:lastRenderedPageBreak/>
              <w:t xml:space="preserve">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документы, подтверждающие соответствие Участник дополнит</w:t>
            </w:r>
            <w:r w:rsidR="00DC17D0">
              <w:rPr>
                <w:sz w:val="20"/>
                <w:szCs w:val="20"/>
              </w:rPr>
              <w:t>ельным требованиям, указанным в Техническом задании</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r w:rsidR="00E55F81">
              <w:rPr>
                <w:sz w:val="20"/>
                <w:szCs w:val="20"/>
              </w:rPr>
              <w:t xml:space="preserve"> 23.12.2021</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E55F81" w:rsidP="009D51D6">
            <w:pPr>
              <w:widowControl w:val="0"/>
              <w:suppressLineNumbers/>
              <w:suppressAutoHyphens/>
              <w:jc w:val="both"/>
              <w:rPr>
                <w:b/>
                <w:sz w:val="20"/>
                <w:szCs w:val="20"/>
              </w:rPr>
            </w:pPr>
            <w:r>
              <w:rPr>
                <w:b/>
                <w:sz w:val="20"/>
                <w:szCs w:val="20"/>
                <w:highlight w:val="yellow"/>
              </w:rPr>
              <w:t>23.12.2021</w:t>
            </w:r>
          </w:p>
          <w:p w:rsidR="009D51D6" w:rsidRPr="001E65B5" w:rsidRDefault="00E55F81"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E55F81" w:rsidRPr="00A15913" w:rsidRDefault="00E55F81" w:rsidP="00E55F81">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E55F81" w:rsidRPr="00A15913" w:rsidRDefault="00E55F81" w:rsidP="00E55F81">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highlight w:val="yellow"/>
              </w:rPr>
              <w:t>18.12.2021 00.00</w:t>
            </w:r>
          </w:p>
          <w:bookmarkEnd w:id="55"/>
          <w:p w:rsidR="00E55F81" w:rsidRPr="00A15913" w:rsidRDefault="00E55F81" w:rsidP="00E55F81">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E55F81" w:rsidRPr="00A15913" w:rsidRDefault="00E55F81" w:rsidP="00E55F81">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highlight w:val="yellow"/>
              </w:rPr>
              <w:t>24.12.2021</w:t>
            </w:r>
          </w:p>
          <w:p w:rsidR="009D51D6" w:rsidRPr="00A15913" w:rsidRDefault="00E55F81" w:rsidP="00E55F81">
            <w:pPr>
              <w:tabs>
                <w:tab w:val="left" w:pos="10260"/>
              </w:tabs>
              <w:autoSpaceDE w:val="0"/>
              <w:autoSpaceDN w:val="0"/>
              <w:adjustRightInd w:val="0"/>
              <w:jc w:val="both"/>
              <w:outlineLvl w:val="0"/>
              <w:rPr>
                <w:b/>
                <w:sz w:val="20"/>
                <w:szCs w:val="20"/>
              </w:rPr>
            </w:pPr>
            <w:r>
              <w:rPr>
                <w:sz w:val="20"/>
                <w:szCs w:val="20"/>
              </w:rPr>
              <w:t>23 часов 59 минут (по челябинскому</w:t>
            </w:r>
            <w:r w:rsidRPr="00A15913">
              <w:rPr>
                <w:sz w:val="20"/>
                <w:szCs w:val="20"/>
              </w:rPr>
              <w:t xml:space="preserve"> времени).</w:t>
            </w:r>
            <w:bookmarkEnd w:id="56"/>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E55F81" w:rsidRPr="00A15913" w:rsidRDefault="00E55F81" w:rsidP="00E55F81">
            <w:pPr>
              <w:tabs>
                <w:tab w:val="left" w:pos="10260"/>
              </w:tabs>
              <w:autoSpaceDE w:val="0"/>
              <w:autoSpaceDN w:val="0"/>
              <w:adjustRightInd w:val="0"/>
              <w:jc w:val="both"/>
              <w:outlineLvl w:val="0"/>
              <w:rPr>
                <w:b/>
                <w:sz w:val="20"/>
                <w:szCs w:val="20"/>
              </w:rPr>
            </w:pPr>
            <w:r>
              <w:rPr>
                <w:b/>
                <w:sz w:val="20"/>
                <w:szCs w:val="20"/>
                <w:highlight w:val="yellow"/>
              </w:rPr>
              <w:t>25.12.2021</w:t>
            </w:r>
          </w:p>
          <w:p w:rsidR="00E55F81" w:rsidRPr="00A15913" w:rsidRDefault="00E55F81" w:rsidP="00E55F81">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p>
        </w:tc>
      </w:tr>
      <w:tr w:rsidR="00E55F81"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E55F81" w:rsidRPr="00A15913" w:rsidRDefault="00E55F81" w:rsidP="00E55F81">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55F81" w:rsidRPr="00A15913" w:rsidRDefault="00E55F81" w:rsidP="00E55F81">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E55F81" w:rsidRPr="00A15913" w:rsidRDefault="00E55F81" w:rsidP="00E55F81">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E55F81" w:rsidRPr="00A15913" w:rsidRDefault="00E55F81" w:rsidP="00E55F81">
            <w:pPr>
              <w:tabs>
                <w:tab w:val="left" w:pos="10260"/>
              </w:tabs>
              <w:autoSpaceDE w:val="0"/>
              <w:autoSpaceDN w:val="0"/>
              <w:adjustRightInd w:val="0"/>
              <w:jc w:val="both"/>
              <w:outlineLvl w:val="0"/>
              <w:rPr>
                <w:b/>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bookmarkStart w:id="57" w:name="дата_рассмотрения"/>
            <w:r>
              <w:rPr>
                <w:b/>
                <w:sz w:val="20"/>
                <w:szCs w:val="20"/>
                <w:highlight w:val="yellow"/>
              </w:rPr>
              <w:t>не позднее 28.12.2021 17.00</w:t>
            </w:r>
            <w:bookmarkStart w:id="58" w:name="_GoBack"/>
            <w:bookmarkEnd w:id="57"/>
            <w:bookmarkEnd w:id="58"/>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lastRenderedPageBreak/>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7F5FE4" w:rsidP="00221480">
                  <w:pPr>
                    <w:pStyle w:val="afffffff8"/>
                    <w:jc w:val="center"/>
                    <w:rPr>
                      <w:b/>
                      <w:bCs/>
                      <w:sz w:val="20"/>
                      <w:szCs w:val="20"/>
                    </w:rPr>
                  </w:pPr>
                  <w:r>
                    <w:rPr>
                      <w:b/>
                      <w:bCs/>
                      <w:sz w:val="20"/>
                      <w:szCs w:val="20"/>
                    </w:rPr>
                    <w:t>10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5C44CF" w:rsidP="00221480">
                  <w:pPr>
                    <w:pStyle w:val="afffffff8"/>
                    <w:jc w:val="center"/>
                    <w:rPr>
                      <w:b/>
                      <w:bCs/>
                      <w:sz w:val="20"/>
                      <w:szCs w:val="20"/>
                    </w:rPr>
                  </w:pPr>
                  <w:r>
                    <w:rPr>
                      <w:b/>
                      <w:bCs/>
                      <w:sz w:val="20"/>
                      <w:szCs w:val="20"/>
                    </w:rPr>
                    <w:t>9</w:t>
                  </w:r>
                  <w:r w:rsidR="007F5FE4">
                    <w:rPr>
                      <w:b/>
                      <w:bCs/>
                      <w:sz w:val="20"/>
                      <w:szCs w:val="20"/>
                    </w:rPr>
                    <w:t>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701253813"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r w:rsidR="00873FE9">
              <w:rPr>
                <w:rFonts w:eastAsia="Calibri"/>
                <w:sz w:val="20"/>
                <w:szCs w:val="20"/>
                <w:lang w:eastAsia="en-US"/>
              </w:rPr>
              <w:t xml:space="preserve"> без учета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r w:rsidRPr="00C6700E">
              <w:rPr>
                <w:rFonts w:eastAsia="Calibri"/>
                <w:sz w:val="20"/>
                <w:szCs w:val="20"/>
                <w:lang w:eastAsia="en-US"/>
              </w:rPr>
              <w:t>Аi – предложение о цене по заявке i-го Участника закупки</w:t>
            </w:r>
            <w:r w:rsidR="00873FE9">
              <w:rPr>
                <w:rFonts w:eastAsia="Calibri"/>
                <w:sz w:val="20"/>
                <w:szCs w:val="20"/>
                <w:lang w:eastAsia="en-US"/>
              </w:rPr>
              <w:t xml:space="preserve"> без учета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lastRenderedPageBreak/>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w:t>
            </w:r>
            <w:r w:rsidR="007F5FE4">
              <w:rPr>
                <w:rFonts w:eastAsia="Calibri"/>
                <w:bCs/>
                <w:sz w:val="18"/>
                <w:szCs w:val="18"/>
                <w:lang w:eastAsia="en-US"/>
              </w:rPr>
              <w:t>4</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5C7C3A">
              <w:rPr>
                <w:rFonts w:eastAsia="Calibri"/>
                <w:sz w:val="20"/>
                <w:szCs w:val="20"/>
                <w:lang w:eastAsia="en-US"/>
              </w:rPr>
              <w:t>3</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 xml:space="preserve">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w:t>
            </w:r>
            <w:r w:rsidRPr="00DC4C6C">
              <w:rPr>
                <w:sz w:val="20"/>
                <w:szCs w:val="20"/>
              </w:rPr>
              <w:lastRenderedPageBreak/>
              <w:t>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7F5FE4">
              <w:rPr>
                <w:rFonts w:eastAsia="Calibri"/>
                <w:sz w:val="20"/>
                <w:szCs w:val="20"/>
                <w:lang w:eastAsia="en-US"/>
              </w:rPr>
              <w:t>3</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lastRenderedPageBreak/>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9" w:name="_Toc121738778"/>
    </w:p>
    <w:bookmarkEnd w:id="59"/>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60"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60"/>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61"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61"/>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EC" w:rsidRDefault="006D39EC">
      <w:r>
        <w:separator/>
      </w:r>
    </w:p>
  </w:endnote>
  <w:endnote w:type="continuationSeparator" w:id="0">
    <w:p w:rsidR="006D39EC" w:rsidRDefault="006D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EC" w:rsidRDefault="006D39EC">
      <w:r>
        <w:separator/>
      </w:r>
    </w:p>
  </w:footnote>
  <w:footnote w:type="continuationSeparator" w:id="0">
    <w:p w:rsidR="006D39EC" w:rsidRDefault="006D39EC">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E55F81">
          <w:rPr>
            <w:noProof/>
          </w:rPr>
          <w:t>20</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C7A09"/>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697"/>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9EC"/>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5FE4"/>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27E"/>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98E"/>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53"/>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0F2"/>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17D0"/>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5F81"/>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2ED992"/>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8251-7969-432A-BF38-B909C5BD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275</TotalTime>
  <Pages>34</Pages>
  <Words>15908</Words>
  <Characters>90676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106372</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152</cp:revision>
  <cp:lastPrinted>2020-05-12T02:13:00Z</cp:lastPrinted>
  <dcterms:created xsi:type="dcterms:W3CDTF">2021-07-20T09:55:00Z</dcterms:created>
  <dcterms:modified xsi:type="dcterms:W3CDTF">2021-12-17T08:44:00Z</dcterms:modified>
</cp:coreProperties>
</file>