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93575C" w:rsidRDefault="00BA0260" w:rsidP="00E73A4D">
      <w:pPr>
        <w:pStyle w:val="23"/>
        <w:spacing w:before="0" w:after="0"/>
        <w:contextualSpacing w:val="0"/>
        <w:rPr>
          <w:lang w:val="en-US"/>
        </w:rPr>
      </w:pPr>
      <w:r w:rsidRPr="00CB432A">
        <w:t xml:space="preserve">№ </w:t>
      </w:r>
      <w:r w:rsidR="0093575C">
        <w:rPr>
          <w:lang w:val="en-US"/>
        </w:rPr>
        <w:t>1317</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020A6C">
        <w:t>СПЕЦОДЕЖДЫ</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4"/>
        <w:gridCol w:w="1195"/>
        <w:gridCol w:w="7623"/>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 xml:space="preserve">для </w:t>
            </w:r>
            <w:proofErr w:type="gramStart"/>
            <w:r w:rsidRPr="00BA0260">
              <w:t>нужд  Акционерное</w:t>
            </w:r>
            <w:proofErr w:type="gramEnd"/>
            <w:r w:rsidRPr="00BA0260">
              <w:t xml:space="preserve"> общество "</w:t>
            </w:r>
            <w:proofErr w:type="spellStart"/>
            <w:r w:rsidRPr="00BA0260">
              <w:t>Челябинскгоргаз</w:t>
            </w:r>
            <w:proofErr w:type="spellEnd"/>
            <w:r w:rsidRPr="00BA0260">
              <w:t>"</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24207B">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24207B">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24207B">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24207B">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24207B">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24207B">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24207B">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24207B">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24207B">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24207B">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24207B">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24207B">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24207B">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24207B">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w:t>
      </w:r>
      <w:proofErr w:type="spellStart"/>
      <w:r w:rsidR="00D55D75" w:rsidRPr="00D55D75">
        <w:t>Челябинскгоргаз</w:t>
      </w:r>
      <w:proofErr w:type="spellEnd"/>
      <w:r w:rsidR="00D55D75" w:rsidRPr="00D55D75">
        <w:t>»</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BA0260" w:rsidP="00B851DF">
      <w:pPr>
        <w:pStyle w:val="a4"/>
      </w:pPr>
      <w:r>
        <w:t>в)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BA0260" w:rsidRDefault="00BA0260" w:rsidP="00B851DF">
      <w:pPr>
        <w:pStyle w:val="a4"/>
      </w:pPr>
      <w:r>
        <w:t>г) Декларацию соответствия участника закупки (Форма</w:t>
      </w:r>
      <w:r w:rsidRPr="00B4549F">
        <w:t xml:space="preserve"> </w:t>
      </w:r>
      <w:r>
        <w:t>4);</w:t>
      </w:r>
    </w:p>
    <w:p w:rsidR="00BA0260" w:rsidRDefault="00BA0260" w:rsidP="00B851DF">
      <w:pPr>
        <w:pStyle w:val="a4"/>
      </w:pPr>
      <w:r>
        <w:t>д) Справку об опыте выполнения аналогичных договоров (Форма</w:t>
      </w:r>
      <w:r w:rsidRPr="00B4549F">
        <w:t xml:space="preserve"> </w:t>
      </w:r>
      <w:r>
        <w:t>7);</w:t>
      </w:r>
    </w:p>
    <w:p w:rsidR="00BA0260" w:rsidRDefault="00BA0260" w:rsidP="00B851DF">
      <w:pPr>
        <w:pStyle w:val="a4"/>
      </w:pPr>
      <w:r>
        <w:t>е) Справку о материально-технических ресурсах (Форма</w:t>
      </w:r>
      <w:r w:rsidRPr="00B4549F">
        <w:t xml:space="preserve"> </w:t>
      </w:r>
      <w:r>
        <w:t>8);</w:t>
      </w:r>
    </w:p>
    <w:p w:rsidR="00BA0260" w:rsidRDefault="00BA0260" w:rsidP="00B851DF">
      <w:pPr>
        <w:pStyle w:val="a4"/>
      </w:pPr>
      <w:r>
        <w:t>ж) Справку о кадровых ресурсах (Форма</w:t>
      </w:r>
      <w:r w:rsidRPr="00B4549F">
        <w:t xml:space="preserve"> </w:t>
      </w:r>
      <w:r>
        <w:t>9);</w:t>
      </w:r>
    </w:p>
    <w:p w:rsidR="00BA0260" w:rsidRDefault="00BA0260" w:rsidP="00B851DF">
      <w:pPr>
        <w:pStyle w:val="a4"/>
      </w:pPr>
      <w:r>
        <w:t>з) Справку о деловой репутации (участие в судебных разбирательствах) (Форма</w:t>
      </w:r>
      <w:r w:rsidRPr="00B4549F">
        <w:t xml:space="preserve"> </w:t>
      </w:r>
      <w:r>
        <w:t>10);</w:t>
      </w:r>
    </w:p>
    <w:p w:rsidR="00BA0260" w:rsidRDefault="00BA0260" w:rsidP="00B851DF">
      <w:pPr>
        <w:pStyle w:val="a4"/>
      </w:pPr>
      <w:r>
        <w:t>и) Справку о финансовом положении (Форма</w:t>
      </w:r>
      <w:r w:rsidRPr="00B4549F">
        <w:t xml:space="preserve"> </w:t>
      </w:r>
      <w:r>
        <w:t>11);</w:t>
      </w:r>
    </w:p>
    <w:p w:rsidR="00BA0260" w:rsidRDefault="00BA0260" w:rsidP="00B851DF">
      <w:pPr>
        <w:pStyle w:val="a4"/>
      </w:pPr>
      <w:r>
        <w:t>к)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t>2.3.1.4 Требования, предъявляемые к условиям оплаты.</w:t>
      </w:r>
    </w:p>
    <w:p w:rsidR="00BA0260" w:rsidRDefault="00BA0260" w:rsidP="00E73A4D">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w:t>
      </w:r>
      <w:proofErr w:type="gramStart"/>
      <w:r>
        <w:t>например</w:t>
      </w:r>
      <w:proofErr w:type="gramEnd"/>
      <w:r>
        <w:t>: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w:t>
      </w:r>
      <w:proofErr w:type="gramStart"/>
      <w:r>
        <w:t>В</w:t>
      </w:r>
      <w:proofErr w:type="gramEnd"/>
      <w:r>
        <w:t xml:space="preserve">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BA0260" w:rsidRDefault="00BA026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proofErr w:type="gramStart"/>
      <w:r w:rsidRPr="004A449C">
        <w:rPr>
          <w:color w:val="000000" w:themeColor="text1"/>
        </w:rPr>
        <w:t>в формуле</w:t>
      </w:r>
      <w:proofErr w:type="gramEnd"/>
      <w:r w:rsidRPr="004A449C">
        <w:rPr>
          <w:color w:val="000000" w:themeColor="text1"/>
        </w:rPr>
        <w:t xml:space="preserve">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w:t>
      </w:r>
      <w:proofErr w:type="gramStart"/>
      <w:r>
        <w:rPr>
          <w:color w:val="000000" w:themeColor="text1"/>
        </w:rPr>
        <w:t>В</w:t>
      </w:r>
      <w:proofErr w:type="gramEnd"/>
      <w:r>
        <w:rPr>
          <w:color w:val="000000" w:themeColor="text1"/>
        </w:rPr>
        <w:t xml:space="preserve">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Участник в составе заявки предоставляет надлежащим образом заверенные копии сертификатов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на предлагаемый к поставке товар. </w:t>
      </w:r>
    </w:p>
    <w:p w:rsidR="00BA0260" w:rsidRDefault="00BA0260" w:rsidP="00140F3B">
      <w:pPr>
        <w:pStyle w:val="a4"/>
        <w:rPr>
          <w:color w:val="000000" w:themeColor="text1"/>
        </w:rPr>
      </w:pPr>
      <w:r>
        <w:rPr>
          <w:color w:val="000000" w:themeColor="text1"/>
        </w:rPr>
        <w:t xml:space="preserve">В случае </w:t>
      </w:r>
      <w:proofErr w:type="spellStart"/>
      <w:r>
        <w:rPr>
          <w:color w:val="000000" w:themeColor="text1"/>
        </w:rPr>
        <w:t>непредоставления</w:t>
      </w:r>
      <w:proofErr w:type="spellEnd"/>
      <w:r>
        <w:rPr>
          <w:color w:val="000000" w:themeColor="text1"/>
        </w:rPr>
        <w:t xml:space="preserve">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 xml:space="preserve">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 xml:space="preserve">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w:t>
      </w:r>
      <w:proofErr w:type="spellStart"/>
      <w:r>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Pr>
          <w:color w:val="000000" w:themeColor="text1"/>
        </w:rPr>
        <w:t>)»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BA0260" w:rsidRDefault="00BA0260" w:rsidP="00E73A4D">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w:t>
      </w:r>
      <w:proofErr w:type="spellStart"/>
      <w:r w:rsidRPr="0050067E">
        <w:t>Челябинскгоргаз</w:t>
      </w:r>
      <w:proofErr w:type="spellEnd"/>
      <w:r w:rsidRPr="0050067E">
        <w:t>»</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 xml:space="preserve">2.9 Рассмотрение, оценка и сопоставление </w:t>
      </w:r>
      <w:proofErr w:type="gramStart"/>
      <w:r>
        <w:t>Заявок  на</w:t>
      </w:r>
      <w:proofErr w:type="gramEnd"/>
      <w:r>
        <w:t xml:space="preserve">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w:t>
            </w:r>
            <w:proofErr w:type="spellStart"/>
            <w:r w:rsidRPr="00BA0260">
              <w:t>Челябинскгоргаз</w:t>
            </w:r>
            <w:proofErr w:type="spellEnd"/>
            <w:r w:rsidRPr="00BA0260">
              <w:t>"</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 xml:space="preserve">454087, г Челябинск, </w:t>
            </w:r>
            <w:proofErr w:type="spellStart"/>
            <w:r w:rsidRPr="00BA0260">
              <w:t>ул</w:t>
            </w:r>
            <w:proofErr w:type="spellEnd"/>
            <w:r w:rsidRPr="00BA0260">
              <w:t xml:space="preserve">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63A6C" w:rsidP="00E73A4D">
            <w:pPr>
              <w:pStyle w:val="ad"/>
            </w:pPr>
            <w:proofErr w:type="spellStart"/>
            <w:r>
              <w:rPr>
                <w:lang w:val="en-US"/>
              </w:rPr>
              <w:t>M.Popova</w:t>
            </w:r>
            <w:proofErr w:type="spellEnd"/>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Pr="0024207B" w:rsidRDefault="00BA0260" w:rsidP="00E73A4D">
            <w:pPr>
              <w:pStyle w:val="ad"/>
            </w:pPr>
            <w:r>
              <w:t>Запрос предложений</w:t>
            </w:r>
            <w:r w:rsidR="007D0D02">
              <w:t xml:space="preserve"> в электронной форме №</w:t>
            </w:r>
            <w:r w:rsidR="0024207B">
              <w:rPr>
                <w:lang w:val="en-US"/>
              </w:rPr>
              <w:t xml:space="preserve"> 1317 </w:t>
            </w:r>
            <w:proofErr w:type="gramStart"/>
            <w:r w:rsidR="0024207B">
              <w:t>от  03.06.2021</w:t>
            </w:r>
            <w:proofErr w:type="gramEnd"/>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24207B">
            <w:pPr>
              <w:pStyle w:val="ad"/>
            </w:pPr>
            <w:r>
              <w:t>Закупка</w:t>
            </w:r>
            <w:r w:rsidRPr="00CB432A">
              <w:t xml:space="preserve"> объявлен</w:t>
            </w:r>
            <w:r>
              <w:t>а</w:t>
            </w:r>
            <w:r w:rsidR="00F84504">
              <w:t xml:space="preserve"> </w:t>
            </w:r>
            <w:r w:rsidR="0024207B">
              <w:t>03.06.2021 г.</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w:t>
            </w:r>
            <w:proofErr w:type="spellStart"/>
            <w:r>
              <w:t>Челябинскгоргаз</w:t>
            </w:r>
            <w:proofErr w:type="spellEnd"/>
            <w:r>
              <w:t>»</w:t>
            </w:r>
          </w:p>
          <w:p w:rsidR="00625996" w:rsidRPr="00A9528E" w:rsidRDefault="00625996" w:rsidP="00625996">
            <w:pPr>
              <w:pStyle w:val="ad"/>
            </w:pPr>
            <w:r w:rsidRPr="00A9528E">
              <w:t>Адрес электронной почты:</w:t>
            </w:r>
          </w:p>
          <w:p w:rsidR="00625996" w:rsidRPr="00A9528E" w:rsidRDefault="00063A6C" w:rsidP="00625996">
            <w:pPr>
              <w:pStyle w:val="ad"/>
            </w:pPr>
            <w:r w:rsidRPr="00063A6C">
              <w:t>M.Popova</w:t>
            </w:r>
            <w:r w:rsidR="00625996" w:rsidRPr="00A9528E">
              <w:t xml:space="preserve">@chelgaz.ru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w:t>
            </w:r>
            <w:r w:rsidR="00063A6C" w:rsidRPr="00063A6C">
              <w:t>M.Popova</w:t>
            </w:r>
            <w:r w:rsidRPr="001A7DA7">
              <w:t xml:space="preserve">@chelgaz.ru </w:t>
            </w:r>
          </w:p>
          <w:p w:rsidR="00BA0260" w:rsidRPr="007D0D02" w:rsidRDefault="00625996" w:rsidP="00625996">
            <w:pPr>
              <w:pStyle w:val="ad"/>
              <w:rPr>
                <w:highlight w:val="yellow"/>
              </w:rPr>
            </w:pPr>
            <w:r w:rsidRPr="001A7DA7">
              <w:t xml:space="preserve">Режим работы </w:t>
            </w:r>
            <w:r>
              <w:t>– с понедельника по четверг с 8:00 ч. до 17:00 ч., в пятницу 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72575D" w:rsidP="00E73A4D">
            <w:pPr>
              <w:pStyle w:val="ad"/>
            </w:pPr>
            <w:r w:rsidRPr="0072575D">
              <w:t>3 663 277,20</w:t>
            </w:r>
            <w:r>
              <w:rPr>
                <w:lang w:val="en-US"/>
              </w:rPr>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72575D" w:rsidP="00E73A4D">
            <w:pPr>
              <w:jc w:val="both"/>
            </w:pPr>
            <w:r w:rsidRPr="0072575D">
              <w:rPr>
                <w:sz w:val="22"/>
              </w:rPr>
              <w:t xml:space="preserve">3 052 731,00 </w:t>
            </w:r>
            <w:r>
              <w:rPr>
                <w:sz w:val="22"/>
                <w:lang w:val="en-US"/>
              </w:rPr>
              <w:t xml:space="preserve"> </w:t>
            </w:r>
            <w:r w:rsidR="00BA0260" w:rsidRPr="00057E59">
              <w:rPr>
                <w:sz w:val="22"/>
              </w:rPr>
              <w:t>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начала срока подачи Заявок на участие в </w:t>
            </w:r>
            <w:r>
              <w:t>Закупке</w:t>
            </w:r>
          </w:p>
        </w:tc>
        <w:tc>
          <w:tcPr>
            <w:tcW w:w="7228" w:type="dxa"/>
          </w:tcPr>
          <w:p w:rsidR="00BA0260" w:rsidRPr="00CB432A" w:rsidRDefault="0024207B" w:rsidP="00E73A4D">
            <w:pPr>
              <w:pStyle w:val="ad"/>
            </w:pPr>
            <w:r>
              <w:t>04.06.2021 г. 00:00 ч. (время местное)</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окончания подачи Заявок на участие в </w:t>
            </w:r>
            <w:r>
              <w:t>Закупке</w:t>
            </w:r>
          </w:p>
        </w:tc>
        <w:tc>
          <w:tcPr>
            <w:tcW w:w="7228" w:type="dxa"/>
          </w:tcPr>
          <w:p w:rsidR="00BA0260" w:rsidRPr="00CB432A" w:rsidRDefault="0024207B" w:rsidP="00E73A4D">
            <w:pPr>
              <w:pStyle w:val="ad"/>
            </w:pPr>
            <w:r>
              <w:t>10.06.2021г. 23:59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Сайт Электронной площадки для подачи Заявок в электронной форме</w:t>
            </w:r>
          </w:p>
        </w:tc>
        <w:tc>
          <w:tcPr>
            <w:tcW w:w="7228" w:type="dxa"/>
          </w:tcPr>
          <w:p w:rsidR="00BA0260" w:rsidRPr="00CB432A" w:rsidRDefault="00BA0260" w:rsidP="00E73A4D">
            <w:pPr>
              <w:pStyle w:val="ad"/>
            </w:pPr>
            <w:r w:rsidRPr="002137F2">
              <w:rPr>
                <w:noProof/>
                <w:highlight w:val="lightGray"/>
              </w:rPr>
              <w:t>https://etp.gpb.ru/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BA0260" w:rsidRPr="00CB432A" w:rsidRDefault="0024207B" w:rsidP="00E73A4D">
            <w:pPr>
              <w:pStyle w:val="ad"/>
            </w:pPr>
            <w:r>
              <w:t>11.06.2021 г. 00:00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3.17</w:t>
            </w:r>
          </w:p>
        </w:tc>
        <w:tc>
          <w:tcPr>
            <w:tcW w:w="276" w:type="dxa"/>
          </w:tcPr>
          <w:p w:rsidR="00BA0260" w:rsidRPr="00CB432A" w:rsidRDefault="00BA0260" w:rsidP="00E73A4D">
            <w:pPr>
              <w:pStyle w:val="ad"/>
            </w:pPr>
          </w:p>
        </w:tc>
        <w:tc>
          <w:tcPr>
            <w:tcW w:w="2127" w:type="dxa"/>
            <w:tcBorders>
              <w:bottom w:val="single" w:sz="4" w:space="0" w:color="auto"/>
            </w:tcBorders>
          </w:tcPr>
          <w:p w:rsidR="00BA0260" w:rsidRPr="00CB432A" w:rsidRDefault="00BA0260" w:rsidP="00E73A4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BA0260" w:rsidRPr="00CB432A" w:rsidRDefault="009E3852" w:rsidP="00BC20D0">
            <w:pPr>
              <w:pStyle w:val="ad"/>
            </w:pPr>
            <w:r>
              <w:t>Не позднее</w:t>
            </w:r>
            <w:r w:rsidRPr="00273A5F">
              <w:t xml:space="preserve"> </w:t>
            </w:r>
            <w:r w:rsidR="0024207B">
              <w:t xml:space="preserve">15.06.2021 г. 17:00 ч. </w:t>
            </w:r>
          </w:p>
        </w:tc>
      </w:tr>
      <w:tr w:rsidR="00BA0260" w:rsidRPr="00CB432A" w:rsidTr="00E73A4D">
        <w:trPr>
          <w:gridAfter w:val="1"/>
          <w:wAfter w:w="6" w:type="dxa"/>
          <w:trHeight w:val="138"/>
        </w:trPr>
        <w:tc>
          <w:tcPr>
            <w:tcW w:w="817" w:type="dxa"/>
            <w:vMerge w:val="restart"/>
          </w:tcPr>
          <w:p w:rsidR="00BA0260" w:rsidRPr="00CB432A" w:rsidRDefault="00BA0260" w:rsidP="00E73A4D">
            <w:pPr>
              <w:pStyle w:val="ad"/>
              <w:jc w:val="center"/>
            </w:pPr>
            <w:r w:rsidRPr="00CB432A">
              <w:t>3.18</w:t>
            </w:r>
          </w:p>
        </w:tc>
        <w:tc>
          <w:tcPr>
            <w:tcW w:w="276" w:type="dxa"/>
            <w:vMerge w:val="restart"/>
          </w:tcPr>
          <w:p w:rsidR="00BA0260" w:rsidRPr="00CB432A" w:rsidRDefault="00BA0260" w:rsidP="00E73A4D">
            <w:pPr>
              <w:pStyle w:val="ad"/>
            </w:pPr>
          </w:p>
        </w:tc>
        <w:tc>
          <w:tcPr>
            <w:tcW w:w="2127" w:type="dxa"/>
            <w:tcBorders>
              <w:bottom w:val="nil"/>
            </w:tcBorders>
          </w:tcPr>
          <w:p w:rsidR="00BA0260" w:rsidRDefault="00BA0260" w:rsidP="00E73A4D">
            <w:pPr>
              <w:pStyle w:val="ad"/>
            </w:pPr>
            <w:r>
              <w:t>Дата направления Организатору вторых частей Заявок</w:t>
            </w:r>
          </w:p>
          <w:p w:rsidR="00BA0260" w:rsidRPr="00CB432A" w:rsidRDefault="00BA0260" w:rsidP="00E73A4D">
            <w:pPr>
              <w:pStyle w:val="ad"/>
            </w:pPr>
          </w:p>
        </w:tc>
        <w:tc>
          <w:tcPr>
            <w:tcW w:w="7228" w:type="dxa"/>
            <w:tcBorders>
              <w:bottom w:val="nil"/>
            </w:tcBorders>
          </w:tcPr>
          <w:p w:rsidR="00BA0260" w:rsidRPr="00CB432A" w:rsidRDefault="009E3852" w:rsidP="00BC20D0">
            <w:pPr>
              <w:pStyle w:val="ad"/>
            </w:pPr>
            <w:r>
              <w:t>Не позднее</w:t>
            </w:r>
            <w:r w:rsidR="0024207B">
              <w:t xml:space="preserve"> </w:t>
            </w:r>
            <w:r w:rsidR="0024207B" w:rsidRPr="0024207B">
              <w:rPr>
                <w:shd w:val="clear" w:color="auto" w:fill="D9D9D9"/>
              </w:rPr>
              <w:t>15.06.2021 г. 1</w:t>
            </w:r>
            <w:r w:rsidR="0024207B">
              <w:rPr>
                <w:shd w:val="clear" w:color="auto" w:fill="D9D9D9"/>
              </w:rPr>
              <w:t>7:01</w:t>
            </w:r>
            <w:r w:rsidR="0024207B" w:rsidRPr="0024207B">
              <w:rPr>
                <w:shd w:val="clear" w:color="auto" w:fill="D9D9D9"/>
              </w:rPr>
              <w:t xml:space="preserve"> ч.</w:t>
            </w:r>
            <w:r w:rsidRPr="007015A8">
              <w:t>, но не ранее публикации протокола рассмотрения первых частей Заявок на участие в закупке.</w:t>
            </w:r>
          </w:p>
        </w:tc>
      </w:tr>
      <w:tr w:rsidR="00BA0260" w:rsidRPr="00CB432A" w:rsidTr="00E73A4D">
        <w:trPr>
          <w:gridAfter w:val="1"/>
          <w:wAfter w:w="6" w:type="dxa"/>
          <w:trHeight w:val="101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bottom w:val="nil"/>
            </w:tcBorders>
          </w:tcPr>
          <w:p w:rsidR="00BA0260" w:rsidRDefault="00BA0260" w:rsidP="00E73A4D">
            <w:pPr>
              <w:pStyle w:val="ad"/>
            </w:pPr>
            <w:r>
              <w:t>Дата и время рассмотрения вторых частей Заявок</w:t>
            </w:r>
          </w:p>
          <w:p w:rsidR="00BA0260" w:rsidRDefault="00BA0260" w:rsidP="00E73A4D">
            <w:pPr>
              <w:pStyle w:val="ad"/>
            </w:pPr>
          </w:p>
        </w:tc>
        <w:tc>
          <w:tcPr>
            <w:tcW w:w="7228" w:type="dxa"/>
            <w:tcBorders>
              <w:top w:val="nil"/>
              <w:bottom w:val="nil"/>
            </w:tcBorders>
          </w:tcPr>
          <w:p w:rsidR="00BA0260" w:rsidRDefault="009E3852" w:rsidP="00BC20D0">
            <w:pPr>
              <w:pStyle w:val="ad"/>
            </w:pPr>
            <w:r w:rsidRPr="00F0094E">
              <w:t xml:space="preserve">Не позднее </w:t>
            </w:r>
            <w:r w:rsidR="0024207B">
              <w:t>17</w:t>
            </w:r>
            <w:r w:rsidR="0024207B" w:rsidRPr="0024207B">
              <w:t>.06.2021 г. 17:00 ч.</w:t>
            </w:r>
          </w:p>
        </w:tc>
      </w:tr>
      <w:tr w:rsidR="00BA0260" w:rsidRPr="00CB432A" w:rsidTr="00E73A4D">
        <w:trPr>
          <w:gridAfter w:val="1"/>
          <w:wAfter w:w="6" w:type="dxa"/>
          <w:trHeight w:val="86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tcBorders>
          </w:tcPr>
          <w:p w:rsidR="00BA0260" w:rsidRDefault="00BA0260" w:rsidP="00E73A4D">
            <w:pPr>
              <w:pStyle w:val="ad"/>
            </w:pPr>
            <w:r w:rsidRPr="00CB432A">
              <w:t>Дата и время подведения итогов</w:t>
            </w:r>
          </w:p>
        </w:tc>
        <w:tc>
          <w:tcPr>
            <w:tcW w:w="7228" w:type="dxa"/>
            <w:tcBorders>
              <w:top w:val="nil"/>
            </w:tcBorders>
          </w:tcPr>
          <w:p w:rsidR="00BA0260" w:rsidRDefault="009E3852" w:rsidP="00BC20D0">
            <w:pPr>
              <w:pStyle w:val="ad"/>
              <w:rPr>
                <w:highlight w:val="lightGray"/>
              </w:rPr>
            </w:pPr>
            <w:r w:rsidRPr="00F0094E">
              <w:t xml:space="preserve">Не позднее </w:t>
            </w:r>
            <w:r w:rsidR="0024207B">
              <w:t>21</w:t>
            </w:r>
            <w:bookmarkStart w:id="0" w:name="_GoBack"/>
            <w:bookmarkEnd w:id="0"/>
            <w:r w:rsidR="0024207B" w:rsidRPr="0024207B">
              <w:t>.06.2021 г. 17:00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г</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tabs>
                      <w:tab w:val="left" w:pos="1791"/>
                    </w:tabs>
                  </w:pPr>
                  <w:r w:rsidRPr="00DF3EFD">
                    <w:rPr>
                      <w:lang w:eastAsia="en-US"/>
                    </w:rPr>
                    <w:t>100 000,01</w:t>
                  </w:r>
                  <w:r w:rsidRPr="00DF3EFD">
                    <w:t xml:space="preserve"> –</w:t>
                  </w:r>
                </w:p>
                <w:p w:rsidR="00BA0260" w:rsidRPr="00DF3EFD" w:rsidRDefault="00BA0260" w:rsidP="00E73A4D">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rsidRPr="00DF3EFD">
                    <w:t>1 000</w:t>
                  </w:r>
                  <w:r>
                    <w:t> </w:t>
                  </w:r>
                  <w:r w:rsidRPr="00DF3EFD">
                    <w:t>000</w:t>
                  </w:r>
                  <w:r>
                    <w:t>,00 –</w:t>
                  </w:r>
                </w:p>
                <w:p w:rsidR="00BA0260" w:rsidRPr="00DF3EFD" w:rsidRDefault="00BA0260" w:rsidP="00E73A4D">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з,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proofErr w:type="spellStart"/>
            <w:r w:rsidRPr="00BA0260">
              <w:rPr>
                <w:lang w:val="en-US"/>
              </w:rPr>
              <w:t>Лот</w:t>
            </w:r>
            <w:proofErr w:type="spellEnd"/>
            <w:r w:rsidRPr="00BA0260">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745774" w:rsidP="00E73A4D">
            <w:r w:rsidRPr="00622D85">
              <w:t>Количество товара, сертифицированного в системе добровольной сертификации «</w:t>
            </w:r>
            <w:proofErr w:type="spellStart"/>
            <w:r w:rsidRPr="00622D85">
              <w:t>Газсерт</w:t>
            </w:r>
            <w:proofErr w:type="spellEnd"/>
            <w:r w:rsidRPr="00622D85">
              <w:t>»</w:t>
            </w:r>
            <w:r>
              <w:t xml:space="preserve"> или «</w:t>
            </w:r>
            <w:proofErr w:type="spellStart"/>
            <w:r>
              <w:t>Интергазсерт</w:t>
            </w:r>
            <w:proofErr w:type="spellEnd"/>
            <w:r>
              <w:t>»</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DF3EFD">
              <w:t>го</w:t>
            </w:r>
            <w:proofErr w:type="spellEnd"/>
            <w:r w:rsidRPr="00DF3EFD">
              <w:t xml:space="preserve">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proofErr w:type="spellStart"/>
            <w:r w:rsidRPr="00472F54">
              <w:rPr>
                <w:color w:val="000000" w:themeColor="text1"/>
                <w:lang w:val="en-US"/>
              </w:rPr>
              <w:t>Ri</w:t>
            </w:r>
            <w:proofErr w:type="spellEnd"/>
            <w:r w:rsidRPr="00472F54">
              <w:rPr>
                <w:color w:val="000000" w:themeColor="text1"/>
                <w:lang w:val="en-US"/>
              </w:rPr>
              <w:t xml:space="preserve">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proofErr w:type="spellStart"/>
            <w:r w:rsidRPr="00DF3EFD">
              <w:rPr>
                <w:color w:val="000000" w:themeColor="text1"/>
                <w:lang w:val="en-US"/>
              </w:rPr>
              <w:t>Ri</w:t>
            </w:r>
            <w:proofErr w:type="spellEnd"/>
            <w:r w:rsidRPr="00DF3EFD">
              <w:rPr>
                <w:color w:val="000000" w:themeColor="text1"/>
              </w:rPr>
              <w:t xml:space="preserve"> – рейтинг Заявки </w:t>
            </w:r>
            <w:proofErr w:type="spellStart"/>
            <w:r w:rsidRPr="00DF3EFD">
              <w:rPr>
                <w:color w:val="000000" w:themeColor="text1"/>
                <w:lang w:val="en-US"/>
              </w:rPr>
              <w:t>i</w:t>
            </w:r>
            <w:proofErr w:type="spellEnd"/>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-го Участника по критерию «Количество товара, сертифицированного в системе добровольной сертификации «</w:t>
            </w:r>
            <w:proofErr w:type="spellStart"/>
            <w:r w:rsidRPr="00DF3EFD">
              <w:rPr>
                <w:color w:val="000000" w:themeColor="text1"/>
              </w:rPr>
              <w:t>Газсерт</w:t>
            </w:r>
            <w:proofErr w:type="spellEnd"/>
            <w:r w:rsidRPr="00DF3EFD">
              <w:rPr>
                <w:color w:val="000000" w:themeColor="text1"/>
              </w:rPr>
              <w:t>»</w:t>
            </w:r>
            <w:r>
              <w:rPr>
                <w:color w:val="000000" w:themeColor="text1"/>
              </w:rPr>
              <w:t xml:space="preserve"> или «</w:t>
            </w:r>
            <w:proofErr w:type="spellStart"/>
            <w:r>
              <w:rPr>
                <w:color w:val="000000" w:themeColor="text1"/>
              </w:rPr>
              <w:t>Интергазсерт</w:t>
            </w:r>
            <w:proofErr w:type="spellEnd"/>
            <w:r>
              <w:rPr>
                <w:color w:val="000000" w:themeColor="text1"/>
              </w:rPr>
              <w:t>»»</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proofErr w:type="spellStart"/>
            <w:r w:rsidRPr="00DF3EFD">
              <w:rPr>
                <w:color w:val="000000" w:themeColor="text1"/>
                <w:lang w:val="en-US"/>
              </w:rPr>
              <w:t>i</w:t>
            </w:r>
            <w:proofErr w:type="spellEnd"/>
            <w:r w:rsidRPr="00DF3EFD">
              <w:rPr>
                <w:color w:val="000000" w:themeColor="text1"/>
              </w:rPr>
              <w:t xml:space="preserve"> – оценка (балл) Заявки </w:t>
            </w:r>
            <w:proofErr w:type="spellStart"/>
            <w:r w:rsidRPr="00DF3EFD">
              <w:rPr>
                <w:color w:val="000000" w:themeColor="text1"/>
                <w:lang w:val="en-US"/>
              </w:rPr>
              <w:t>i</w:t>
            </w:r>
            <w:proofErr w:type="spellEnd"/>
            <w:r w:rsidRPr="00DF3EFD">
              <w:rPr>
                <w:color w:val="000000" w:themeColor="text1"/>
              </w:rPr>
              <w:t xml:space="preserve">-го Участника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w:t>
            </w:r>
            <w:proofErr w:type="spellStart"/>
            <w:r w:rsidRPr="00DF3EFD">
              <w:rPr>
                <w:color w:val="000000" w:themeColor="text1"/>
              </w:rPr>
              <w:t>Газсерт</w:t>
            </w:r>
            <w:proofErr w:type="spellEnd"/>
            <w:r w:rsidRPr="00DF3EFD">
              <w:rPr>
                <w:color w:val="000000" w:themeColor="text1"/>
              </w:rPr>
              <w:t>»</w:t>
            </w:r>
            <w:r>
              <w:rPr>
                <w:color w:val="000000" w:themeColor="text1"/>
              </w:rPr>
              <w:t xml:space="preserve"> или «</w:t>
            </w:r>
            <w:proofErr w:type="spellStart"/>
            <w:r>
              <w:rPr>
                <w:color w:val="000000" w:themeColor="text1"/>
              </w:rPr>
              <w:t>Интергазсерт</w:t>
            </w:r>
            <w:proofErr w:type="spellEnd"/>
            <w:r>
              <w:rPr>
                <w:color w:val="000000" w:themeColor="text1"/>
              </w:rPr>
              <w:t>»»</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proofErr w:type="spellStart"/>
            <w:r w:rsidRPr="00472F54">
              <w:rPr>
                <w:lang w:val="en-US"/>
              </w:rPr>
              <w:t>i</w:t>
            </w:r>
            <w:proofErr w:type="spellEnd"/>
            <w:r w:rsidRPr="00472F54">
              <w:rPr>
                <w:lang w:val="en-US"/>
              </w:rPr>
              <w:t>)/</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BA0260" w:rsidRPr="00713AA6" w:rsidRDefault="00BA0260" w:rsidP="00E73A4D">
            <w:pPr>
              <w:pStyle w:val="ad"/>
            </w:pPr>
            <w:proofErr w:type="spellStart"/>
            <w:r w:rsidRPr="00713AA6">
              <w:t>Аmax</w:t>
            </w:r>
            <w:proofErr w:type="spellEnd"/>
            <w:r w:rsidRPr="00713AA6">
              <w:t xml:space="preserve"> – начальная (максимальная) цена предмета закупки;</w:t>
            </w:r>
          </w:p>
          <w:p w:rsidR="00BA0260" w:rsidRPr="00713AA6" w:rsidRDefault="00BA0260" w:rsidP="00E73A4D">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proofErr w:type="spellStart"/>
            <w:r>
              <w:rPr>
                <w:color w:val="000000" w:themeColor="text1"/>
                <w:sz w:val="22"/>
                <w:szCs w:val="22"/>
                <w:lang w:val="en-US"/>
              </w:rPr>
              <w:t>i</w:t>
            </w:r>
            <w:proofErr w:type="spellEnd"/>
            <w:r w:rsidRPr="002760CE">
              <w:rPr>
                <w:sz w:val="22"/>
                <w:szCs w:val="22"/>
              </w:rPr>
              <w:t xml:space="preserve"> – оценка</w:t>
            </w:r>
            <w:r w:rsidRPr="00DF3EFD">
              <w:rPr>
                <w:sz w:val="22"/>
                <w:szCs w:val="22"/>
              </w:rPr>
              <w:t xml:space="preserve"> (балл) Заявки </w:t>
            </w:r>
            <w:proofErr w:type="spellStart"/>
            <w:r w:rsidRPr="00DF3EFD">
              <w:rPr>
                <w:sz w:val="22"/>
                <w:szCs w:val="22"/>
                <w:lang w:val="en-US"/>
              </w:rPr>
              <w:t>i</w:t>
            </w:r>
            <w:proofErr w:type="spellEnd"/>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w:t>
            </w:r>
            <w:proofErr w:type="spellStart"/>
            <w:r w:rsidRPr="00DF3EFD">
              <w:t>Cмах</w:t>
            </w:r>
            <w:proofErr w:type="spellEnd"/>
            <w:r>
              <w:t xml:space="preserve"> </w:t>
            </w:r>
            <w:r w:rsidRPr="00DF3EFD">
              <w:t>-</w:t>
            </w:r>
            <w:r>
              <w:t xml:space="preserve"> </w:t>
            </w:r>
            <w:proofErr w:type="spellStart"/>
            <w:r w:rsidRPr="00DF3EFD">
              <w:t>Сi</w:t>
            </w:r>
            <w:proofErr w:type="spellEnd"/>
            <w:r w:rsidRPr="00DF3EFD">
              <w:t>)/</w:t>
            </w:r>
            <w:proofErr w:type="spellStart"/>
            <w:r w:rsidRPr="00DF3EFD">
              <w:t>Смах</w:t>
            </w:r>
            <w:proofErr w:type="spellEnd"/>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proofErr w:type="spellStart"/>
            <w:r>
              <w:rPr>
                <w:lang w:val="en-US"/>
              </w:rPr>
              <w:t>i</w:t>
            </w:r>
            <w:proofErr w:type="spellEnd"/>
            <w:r w:rsidRPr="00DF3EFD">
              <w:t xml:space="preserve"> – оценка (балл) Заявки </w:t>
            </w:r>
            <w:proofErr w:type="spellStart"/>
            <w:r w:rsidRPr="00DF3EFD">
              <w:rPr>
                <w:lang w:val="en-US"/>
              </w:rPr>
              <w:t>i</w:t>
            </w:r>
            <w:proofErr w:type="spellEnd"/>
            <w:r w:rsidRPr="00DF3EFD">
              <w:t>-го Участника по критерию «Срок поставки товара»;</w:t>
            </w:r>
          </w:p>
          <w:p w:rsidR="00BA0260" w:rsidRPr="00DF3EFD" w:rsidRDefault="00BA0260" w:rsidP="00E73A4D">
            <w:pPr>
              <w:pStyle w:val="ad"/>
            </w:pPr>
            <w:proofErr w:type="spellStart"/>
            <w:r w:rsidRPr="00DF3EFD">
              <w:t>Смах</w:t>
            </w:r>
            <w:proofErr w:type="spellEnd"/>
            <w:r w:rsidRPr="00DF3EFD">
              <w:t xml:space="preserve"> – максимальный срок поставки товара, установленный в Техническом задании;</w:t>
            </w:r>
          </w:p>
          <w:p w:rsidR="00BA0260" w:rsidRPr="00DF3EFD" w:rsidRDefault="00BA0260" w:rsidP="00E73A4D">
            <w:pPr>
              <w:pStyle w:val="ad"/>
            </w:pPr>
            <w:proofErr w:type="spellStart"/>
            <w:r w:rsidRPr="00DF3EFD">
              <w:t>Сi</w:t>
            </w:r>
            <w:proofErr w:type="spellEnd"/>
            <w:r w:rsidRPr="00DF3EFD">
              <w:t xml:space="preserve"> – предложение по сроку поставки товара по заявке </w:t>
            </w:r>
            <w:proofErr w:type="spellStart"/>
            <w:r w:rsidRPr="00DF3EFD">
              <w:rPr>
                <w:lang w:val="en-US"/>
              </w:rPr>
              <w:t>i</w:t>
            </w:r>
            <w:proofErr w:type="spellEnd"/>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proofErr w:type="spellStart"/>
            <w:r w:rsidRPr="00DF3EFD">
              <w:t>max</w:t>
            </w:r>
            <w:proofErr w:type="spellEnd"/>
            <w:r w:rsidRPr="00DF3EFD">
              <w:t>)</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w:t>
            </w:r>
            <w:proofErr w:type="spellStart"/>
            <w:r w:rsidRPr="00DF3EFD">
              <w:t>го</w:t>
            </w:r>
            <w:proofErr w:type="spellEnd"/>
            <w:r w:rsidRPr="00DF3EFD">
              <w:t xml:space="preserve"> Участника по критерию «Количество товара, сертифицированного в системе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r w:rsidRPr="00DF3EFD">
              <w:t>;</w:t>
            </w:r>
          </w:p>
          <w:p w:rsidR="00BA0260" w:rsidRPr="00DF3EFD" w:rsidRDefault="00BA0260" w:rsidP="00E73A4D">
            <w:pPr>
              <w:pStyle w:val="ad"/>
            </w:pPr>
            <w:r>
              <w:rPr>
                <w:lang w:val="en-US"/>
              </w:rPr>
              <w:t>D</w:t>
            </w:r>
            <w:r w:rsidRPr="00DF3EFD">
              <w:t>i – предложение i-</w:t>
            </w:r>
            <w:proofErr w:type="spellStart"/>
            <w:r w:rsidRPr="00DF3EFD">
              <w:t>го</w:t>
            </w:r>
            <w:proofErr w:type="spellEnd"/>
            <w:r w:rsidRPr="00DF3EFD">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DF3EFD">
              <w:t>Газсерт</w:t>
            </w:r>
            <w:proofErr w:type="spellEnd"/>
            <w:r w:rsidRPr="00DF3EFD">
              <w:t>»</w:t>
            </w:r>
            <w:r>
              <w:t xml:space="preserve"> или «</w:t>
            </w:r>
            <w:proofErr w:type="spellStart"/>
            <w:r>
              <w:t>Интергазсерт</w:t>
            </w:r>
            <w:proofErr w:type="spellEnd"/>
            <w:r>
              <w:t>»</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 xml:space="preserve">5. Оценка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proofErr w:type="spellStart"/>
            <w:r w:rsidRPr="00DF3EFD">
              <w:rPr>
                <w:color w:val="000000" w:themeColor="text1"/>
              </w:rPr>
              <w:t>max</w:t>
            </w:r>
            <w:proofErr w:type="spellEnd"/>
            <w:r w:rsidRPr="00DF3EFD">
              <w:rPr>
                <w:color w:val="000000" w:themeColor="text1"/>
              </w:rPr>
              <w:t>)</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w:t>
            </w:r>
            <w:proofErr w:type="spellStart"/>
            <w:r w:rsidRPr="00DF3EFD">
              <w:rPr>
                <w:color w:val="000000" w:themeColor="text1"/>
              </w:rPr>
              <w:t>го</w:t>
            </w:r>
            <w:proofErr w:type="spellEnd"/>
            <w:r w:rsidRPr="00DF3EFD">
              <w:rPr>
                <w:color w:val="000000" w:themeColor="text1"/>
              </w:rPr>
              <w:t xml:space="preserve"> Участника по критерию «Количество товара, сертифицированного в системе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w:t>
            </w:r>
            <w:proofErr w:type="spellStart"/>
            <w:r w:rsidRPr="00DF3EFD">
              <w:rPr>
                <w:color w:val="000000" w:themeColor="text1"/>
              </w:rPr>
              <w:t>го</w:t>
            </w:r>
            <w:proofErr w:type="spellEnd"/>
            <w:r w:rsidRPr="00DF3EFD">
              <w:rPr>
                <w:color w:val="000000" w:themeColor="text1"/>
              </w:rPr>
              <w:t xml:space="preserve"> Участника по количеству единиц товара, на который у Участника имеется сертификат системы добровольной сертификации (за исключением </w:t>
            </w:r>
            <w:proofErr w:type="spellStart"/>
            <w:r w:rsidRPr="00DF3EFD">
              <w:rPr>
                <w:color w:val="000000" w:themeColor="text1"/>
              </w:rPr>
              <w:t>Газсерт</w:t>
            </w:r>
            <w:proofErr w:type="spellEnd"/>
            <w:r>
              <w:rPr>
                <w:color w:val="000000" w:themeColor="text1"/>
              </w:rPr>
              <w:t xml:space="preserve"> и </w:t>
            </w:r>
            <w:proofErr w:type="spellStart"/>
            <w:r>
              <w:rPr>
                <w:color w:val="000000" w:themeColor="text1"/>
              </w:rPr>
              <w:t>Интергазсерт</w:t>
            </w:r>
            <w:proofErr w:type="spellEnd"/>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 xml:space="preserve">Критерии оценки, при расчете по которым используются </w:t>
            </w:r>
            <w:proofErr w:type="gramStart"/>
            <w:r w:rsidRPr="00AD0276">
              <w:t>сведения  о</w:t>
            </w:r>
            <w:proofErr w:type="gramEnd"/>
            <w:r w:rsidRPr="00AD0276">
              <w:t xml:space="preserve">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 xml:space="preserve">(с указанием «в </w:t>
            </w:r>
            <w:proofErr w:type="spellStart"/>
            <w:r w:rsidRPr="00AA56A1">
              <w:rPr>
                <w:b/>
                <w:color w:val="000000" w:themeColor="text1"/>
                <w:sz w:val="22"/>
                <w:szCs w:val="22"/>
              </w:rPr>
              <w:t>т.ч</w:t>
            </w:r>
            <w:proofErr w:type="spellEnd"/>
            <w:r w:rsidRPr="00AA56A1">
              <w:rPr>
                <w:b/>
                <w:color w:val="000000" w:themeColor="text1"/>
                <w:sz w:val="22"/>
                <w:szCs w:val="22"/>
              </w:rPr>
              <w:t>.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 xml:space="preserve">6.1.2.3 </w:t>
      </w:r>
      <w:proofErr w:type="gramStart"/>
      <w:r w:rsidRPr="00AA56A1">
        <w:rPr>
          <w:szCs w:val="22"/>
        </w:rPr>
        <w:t>В</w:t>
      </w:r>
      <w:proofErr w:type="gramEnd"/>
      <w:r w:rsidRPr="00AA56A1">
        <w:rPr>
          <w:szCs w:val="22"/>
        </w:rPr>
        <w:t xml:space="preserve">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Форма 3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w:t>
      </w:r>
      <w:proofErr w:type="spellStart"/>
      <w:r w:rsidR="00474559">
        <w:rPr>
          <w:sz w:val="22"/>
          <w:szCs w:val="22"/>
        </w:rPr>
        <w:t>Челябинскгоргаз</w:t>
      </w:r>
      <w:proofErr w:type="spellEnd"/>
      <w:r w:rsidR="00474559">
        <w:rPr>
          <w:sz w:val="22"/>
          <w:szCs w:val="22"/>
        </w:rPr>
        <w:t>»</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w:t>
      </w:r>
      <w:proofErr w:type="spellStart"/>
      <w:r w:rsidR="00F55167">
        <w:rPr>
          <w:sz w:val="22"/>
          <w:szCs w:val="22"/>
        </w:rPr>
        <w:t>Челябинскгоргаз</w:t>
      </w:r>
      <w:proofErr w:type="spellEnd"/>
      <w:r w:rsidR="00F55167">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w:t>
      </w:r>
      <w:proofErr w:type="spellStart"/>
      <w:r w:rsidR="00F55167">
        <w:rPr>
          <w:sz w:val="22"/>
          <w:szCs w:val="22"/>
        </w:rPr>
        <w:t>Челябинскгоргаз</w:t>
      </w:r>
      <w:proofErr w:type="spellEnd"/>
      <w:r w:rsidR="00F55167">
        <w:rPr>
          <w:sz w:val="22"/>
          <w:szCs w:val="22"/>
        </w:rPr>
        <w:t>»</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w:t>
      </w:r>
      <w:proofErr w:type="spellStart"/>
      <w:r w:rsidR="00F55167">
        <w:rPr>
          <w:sz w:val="22"/>
          <w:szCs w:val="22"/>
        </w:rPr>
        <w:t>Челябинскгоргаз</w:t>
      </w:r>
      <w:proofErr w:type="spellEnd"/>
      <w:r w:rsidR="00F55167">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 xml:space="preserve">6.7.2.1 </w:t>
      </w:r>
      <w:proofErr w:type="gramStart"/>
      <w:r w:rsidRPr="00AA56A1">
        <w:rPr>
          <w:szCs w:val="22"/>
        </w:rPr>
        <w:t>В</w:t>
      </w:r>
      <w:proofErr w:type="gramEnd"/>
      <w:r w:rsidRPr="00AA56A1">
        <w:rPr>
          <w:szCs w:val="22"/>
        </w:rPr>
        <w:t xml:space="preserve">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w:t>
      </w:r>
      <w:proofErr w:type="gramStart"/>
      <w:r w:rsidRPr="00AA56A1">
        <w:rPr>
          <w:szCs w:val="22"/>
        </w:rPr>
        <w:t>В</w:t>
      </w:r>
      <w:proofErr w:type="gramEnd"/>
      <w:r w:rsidRPr="00AA56A1">
        <w:rPr>
          <w:szCs w:val="22"/>
        </w:rPr>
        <w:t xml:space="preserve">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 xml:space="preserve">.2.1 </w:t>
      </w:r>
      <w:proofErr w:type="gramStart"/>
      <w:r w:rsidRPr="00AA56A1">
        <w:rPr>
          <w:szCs w:val="22"/>
        </w:rPr>
        <w:t>В</w:t>
      </w:r>
      <w:proofErr w:type="gramEnd"/>
      <w:r w:rsidRPr="00AA56A1">
        <w:rPr>
          <w:szCs w:val="22"/>
        </w:rPr>
        <w:t xml:space="preserve">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proofErr w:type="spellStart"/>
      <w:r w:rsidRPr="00612301">
        <w:rPr>
          <w:sz w:val="22"/>
          <w:szCs w:val="22"/>
        </w:rPr>
        <w:t>м.п</w:t>
      </w:r>
      <w:proofErr w:type="spellEnd"/>
      <w:r w:rsidRPr="00612301">
        <w:rPr>
          <w:sz w:val="22"/>
          <w:szCs w:val="22"/>
        </w:rPr>
        <w:t>.</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AA" w:rsidRDefault="002A5BAA">
      <w:r>
        <w:separator/>
      </w:r>
    </w:p>
    <w:p w:rsidR="002A5BAA" w:rsidRDefault="002A5BAA"/>
  </w:endnote>
  <w:endnote w:type="continuationSeparator" w:id="0">
    <w:p w:rsidR="002A5BAA" w:rsidRDefault="002A5BAA">
      <w:r>
        <w:continuationSeparator/>
      </w:r>
    </w:p>
    <w:p w:rsidR="002A5BAA" w:rsidRDefault="002A5BAA"/>
  </w:endnote>
  <w:endnote w:type="continuationNotice" w:id="1">
    <w:p w:rsidR="002A5BAA" w:rsidRDefault="002A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24207B">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4207B">
      <w:rPr>
        <w:noProof/>
      </w:rPr>
      <w:t>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24207B">
      <w:rPr>
        <w:noProof/>
      </w:rPr>
      <w:t>47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4207B">
      <w:rPr>
        <w:noProof/>
      </w:rPr>
      <w:t>47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AA" w:rsidRDefault="002A5BAA">
      <w:r>
        <w:separator/>
      </w:r>
    </w:p>
    <w:p w:rsidR="002A5BAA" w:rsidRDefault="002A5BAA"/>
  </w:footnote>
  <w:footnote w:type="continuationSeparator" w:id="0">
    <w:p w:rsidR="002A5BAA" w:rsidRDefault="002A5BAA">
      <w:r>
        <w:continuationSeparator/>
      </w:r>
    </w:p>
    <w:p w:rsidR="002A5BAA" w:rsidRDefault="002A5BAA"/>
  </w:footnote>
  <w:footnote w:type="continuationNotice" w:id="1">
    <w:p w:rsidR="002A5BAA" w:rsidRDefault="002A5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3A6C"/>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1DF4"/>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207B"/>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5BAA"/>
    <w:rsid w:val="002A6447"/>
    <w:rsid w:val="002A7187"/>
    <w:rsid w:val="002A7231"/>
    <w:rsid w:val="002B0327"/>
    <w:rsid w:val="002B272D"/>
    <w:rsid w:val="002B31F4"/>
    <w:rsid w:val="002B3A12"/>
    <w:rsid w:val="002B4A3C"/>
    <w:rsid w:val="002B6803"/>
    <w:rsid w:val="002B6A29"/>
    <w:rsid w:val="002B6E80"/>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575D"/>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75C"/>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2F71"/>
    <w:rsid w:val="00A5327E"/>
    <w:rsid w:val="00A5329A"/>
    <w:rsid w:val="00A53C19"/>
    <w:rsid w:val="00A554D7"/>
    <w:rsid w:val="00A55D79"/>
    <w:rsid w:val="00A6068B"/>
    <w:rsid w:val="00A60B7D"/>
    <w:rsid w:val="00A635EA"/>
    <w:rsid w:val="00A64D86"/>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B4720E98-7880-4561-8A4D-0371C4D5BE5F}">
  <ds:schemaRefs>
    <ds:schemaRef ds:uri="http://schemas.openxmlformats.org/officeDocument/2006/bibliography"/>
  </ds:schemaRefs>
</ds:datastoreItem>
</file>

<file path=customXml/itemProps6.xml><?xml version="1.0" encoding="utf-8"?>
<ds:datastoreItem xmlns:ds="http://schemas.openxmlformats.org/officeDocument/2006/customXml" ds:itemID="{D68CBDF1-14F0-41BA-9EA6-BA6ADE46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15320</Words>
  <Characters>114516</Characters>
  <Application>Microsoft Office Word</Application>
  <DocSecurity>0</DocSecurity>
  <Lines>954</Lines>
  <Paragraphs>259</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2021-06-01T05:33:00Z</dcterms:created>
  <dcterms:modified xsi:type="dcterms:W3CDTF">2021-06-03T06:28:00Z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