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951495" w:rsidRDefault="00B236BA" w:rsidP="00DA6AE4">
      <w:pPr>
        <w:pStyle w:val="aa"/>
        <w:rPr>
          <w:rFonts w:ascii="Times New Roman" w:hAnsi="Times New Roman"/>
          <w:sz w:val="22"/>
          <w:szCs w:val="22"/>
        </w:rPr>
      </w:pPr>
      <w:r w:rsidRPr="00951495">
        <w:rPr>
          <w:rFonts w:ascii="Times New Roman" w:hAnsi="Times New Roman"/>
          <w:sz w:val="22"/>
          <w:szCs w:val="22"/>
        </w:rPr>
        <w:t xml:space="preserve">Извещение </w:t>
      </w:r>
    </w:p>
    <w:p w:rsidR="00B236BA" w:rsidRPr="00951495" w:rsidRDefault="00B236BA" w:rsidP="00DA6AE4">
      <w:pPr>
        <w:pStyle w:val="aa"/>
        <w:rPr>
          <w:rFonts w:ascii="Times New Roman" w:hAnsi="Times New Roman"/>
          <w:sz w:val="22"/>
          <w:szCs w:val="22"/>
        </w:rPr>
      </w:pPr>
      <w:r w:rsidRPr="00951495">
        <w:rPr>
          <w:rFonts w:ascii="Times New Roman" w:hAnsi="Times New Roman"/>
          <w:sz w:val="22"/>
          <w:szCs w:val="22"/>
        </w:rPr>
        <w:t xml:space="preserve">О ПРОВЕДЕНИИ запроса предложений </w:t>
      </w:r>
    </w:p>
    <w:p w:rsidR="00B236BA" w:rsidRPr="00951495" w:rsidRDefault="00763C18" w:rsidP="00DA6AE4">
      <w:pPr>
        <w:pStyle w:val="aa"/>
        <w:rPr>
          <w:rFonts w:ascii="Times New Roman" w:hAnsi="Times New Roman"/>
          <w:sz w:val="22"/>
          <w:szCs w:val="22"/>
        </w:rPr>
      </w:pPr>
      <w:r w:rsidRPr="00951495">
        <w:rPr>
          <w:rFonts w:ascii="Times New Roman" w:hAnsi="Times New Roman"/>
          <w:sz w:val="22"/>
          <w:szCs w:val="22"/>
        </w:rPr>
        <w:t>в электронной форме №</w:t>
      </w:r>
      <w:r w:rsidR="00584DCD">
        <w:rPr>
          <w:rFonts w:ascii="Times New Roman" w:hAnsi="Times New Roman"/>
          <w:sz w:val="22"/>
          <w:szCs w:val="22"/>
        </w:rPr>
        <w:t xml:space="preserve"> 1444</w:t>
      </w:r>
    </w:p>
    <w:p w:rsidR="00B236BA" w:rsidRPr="00951495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951495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951495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951495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951495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454087, г Челябинск, ул Рылеева д 8</w:t>
            </w:r>
          </w:p>
        </w:tc>
      </w:tr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www.chelgaz.ru</w:t>
            </w:r>
          </w:p>
        </w:tc>
      </w:tr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945B39" w:rsidP="00E20138">
            <w:pPr>
              <w:rPr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  <w:lang w:val="en-US"/>
              </w:rPr>
              <w:t>D.Zalyalyutdinova</w:t>
            </w:r>
            <w:r w:rsidR="00B236BA" w:rsidRPr="00951495">
              <w:rPr>
                <w:sz w:val="22"/>
                <w:szCs w:val="22"/>
              </w:rPr>
              <w:t>@chelgaz.ru</w:t>
            </w:r>
          </w:p>
        </w:tc>
      </w:tr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556959" w:rsidP="00945B39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 xml:space="preserve">(351) </w:t>
            </w:r>
            <w:r w:rsidR="00945B39" w:rsidRPr="00951495">
              <w:rPr>
                <w:sz w:val="22"/>
                <w:szCs w:val="22"/>
              </w:rPr>
              <w:t>232-01-57</w:t>
            </w:r>
          </w:p>
        </w:tc>
      </w:tr>
      <w:tr w:rsidR="00B236BA" w:rsidRPr="00951495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951495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951495" w:rsidRDefault="00B236BA" w:rsidP="00E20138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951495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951495" w:rsidRDefault="00B236BA">
            <w:pPr>
              <w:pStyle w:val="a6"/>
            </w:pPr>
            <w:r w:rsidRPr="00951495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6"/>
            </w:pPr>
            <w:r w:rsidRPr="00951495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6"/>
            </w:pPr>
            <w:r w:rsidRPr="00951495">
              <w:t>Текст пояснений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8"/>
            </w:pPr>
            <w:r w:rsidRPr="00951495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8"/>
            </w:pPr>
            <w:r w:rsidRPr="00951495">
              <w:t>Запрос предложений в электронной форме</w:t>
            </w:r>
            <w:r w:rsidR="00796044" w:rsidRPr="00951495">
              <w:t xml:space="preserve">, участниками которого </w:t>
            </w:r>
            <w:r w:rsidR="00213E6E" w:rsidRPr="00951495">
              <w:t>могут быть только субъекты малого и среднего предпринимательства</w:t>
            </w:r>
            <w:r w:rsidRPr="00951495">
              <w:t>.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8"/>
            </w:pPr>
            <w:r w:rsidRPr="00951495">
              <w:t xml:space="preserve">Наименование </w:t>
            </w:r>
            <w:r w:rsidRPr="00951495">
              <w:br/>
              <w:t xml:space="preserve">Организатора, </w:t>
            </w:r>
            <w:r w:rsidRPr="00951495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>
            <w:pPr>
              <w:pStyle w:val="a8"/>
            </w:pPr>
            <w:r w:rsidRPr="00951495">
              <w:t xml:space="preserve">Наименование: </w:t>
            </w:r>
            <w:r w:rsidR="009776DA" w:rsidRPr="00951495">
              <w:t>АО «Челябинскгоргаз»</w:t>
            </w:r>
          </w:p>
          <w:p w:rsidR="00CE0975" w:rsidRPr="00951495" w:rsidRDefault="00CE0975">
            <w:pPr>
              <w:pStyle w:val="a8"/>
            </w:pPr>
            <w:r w:rsidRPr="00951495">
              <w:t>Место нахождения: г. Челябинск, ул. Рылеева, 8</w:t>
            </w:r>
          </w:p>
          <w:p w:rsidR="00B236BA" w:rsidRPr="00951495" w:rsidRDefault="00B236BA">
            <w:pPr>
              <w:pStyle w:val="a8"/>
            </w:pPr>
            <w:r w:rsidRPr="00951495">
              <w:t xml:space="preserve">Телефон: </w:t>
            </w:r>
            <w:r w:rsidR="009776DA" w:rsidRPr="00951495">
              <w:t xml:space="preserve">(351) </w:t>
            </w:r>
            <w:r w:rsidR="00945B39" w:rsidRPr="00951495">
              <w:t>232-01-57</w:t>
            </w:r>
          </w:p>
          <w:p w:rsidR="00B236BA" w:rsidRPr="00951495" w:rsidRDefault="00B236BA" w:rsidP="00945B39">
            <w:pPr>
              <w:pStyle w:val="a8"/>
            </w:pPr>
            <w:r w:rsidRPr="00951495">
              <w:t>электронный адрес –</w:t>
            </w:r>
            <w:r w:rsidR="009776DA" w:rsidRPr="00951495">
              <w:t xml:space="preserve"> </w:t>
            </w:r>
            <w:r w:rsidR="00945B39" w:rsidRPr="00951495">
              <w:rPr>
                <w:rFonts w:eastAsia="Calibri"/>
                <w:lang w:val="en-US"/>
              </w:rPr>
              <w:t>D.Zalyalyutdinova</w:t>
            </w:r>
            <w:r w:rsidR="009776DA" w:rsidRPr="00951495">
              <w:t>@chelgaz.ru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6F5F29">
            <w:pPr>
              <w:pStyle w:val="a8"/>
            </w:pPr>
            <w:r w:rsidRPr="00951495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8"/>
            </w:pPr>
            <w:r w:rsidRPr="00951495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8"/>
            </w:pPr>
            <w:r w:rsidRPr="00951495">
              <w:t>Предмет договора с указанием объема работ,  оказываемых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b/>
                <w:sz w:val="22"/>
                <w:szCs w:val="22"/>
              </w:rPr>
              <w:t>Выполнение инженерно-геодезических</w:t>
            </w:r>
            <w:r w:rsidRPr="00951495">
              <w:rPr>
                <w:rFonts w:eastAsia="Courier New"/>
                <w:bCs/>
                <w:sz w:val="22"/>
                <w:szCs w:val="22"/>
              </w:rPr>
              <w:t xml:space="preserve"> </w:t>
            </w:r>
          </w:p>
          <w:p w:rsidR="00951495" w:rsidRPr="00951495" w:rsidRDefault="00951495" w:rsidP="00951495">
            <w:pPr>
              <w:rPr>
                <w:rFonts w:eastAsia="Courier New"/>
                <w:b/>
                <w:bCs/>
                <w:sz w:val="22"/>
                <w:szCs w:val="22"/>
              </w:rPr>
            </w:pPr>
            <w:r w:rsidRPr="00951495">
              <w:rPr>
                <w:b/>
                <w:sz w:val="22"/>
                <w:szCs w:val="22"/>
              </w:rPr>
              <w:t>работ по объектам:</w:t>
            </w:r>
            <w:r w:rsidRPr="00951495">
              <w:rPr>
                <w:rFonts w:eastAsia="Courier New"/>
                <w:b/>
                <w:bCs/>
                <w:sz w:val="22"/>
                <w:szCs w:val="22"/>
              </w:rPr>
              <w:t xml:space="preserve"> 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СНТ "Садовод Любитель-1" улица 11, участок 945.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ул. Капитанская, д. 6а.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СНТ "Садовод Любитель-1" улица 11, участок 974.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г.Челябинск, пр. Победы, д. 234.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СНТ "Садовод Любитель-1", улица 12, участок 989 (ЗУ 74:36:0603003:1153).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ул. Березовый тупик, 6а.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высокого давления от точки подключения до границы земельного участка по адресу: г. Челябинск, Троицкий тракт, 19-з.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lastRenderedPageBreak/>
              <w:t>«Газопровод низкого давления от точки подключения до границы земельного участка по адресу: г. Челябинск, пер. Индивидуальный, 117.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среднего давления от точки подключения до границы земельного участка по адресу: г. Челябинск, Калининский район, ул. Береговая, 123.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высокого давления от точки подключения до границы земельного участка по адресу: г. Челябинск, ул. Автодорожная, 17А, стр. 1.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Копейск, СНТ "Часовщик", ул. 33, участок №6.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Ленинский район, тер. СНТ "Кузнец-1", уч. 533.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Ленинский район, тер. СНТ "Кузнец-1", уч. 492.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Сосновский район, пос. Малая Сосновка, ул. Цветочная, 21.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СНТ "АМЗ-2", улица 3, участок №68.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Ленинский район, СНТ "Трубопрокатчик 1", уч. 46.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Советский район, СНТ "АМЗ-2", уч. 22.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Cs/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Ленинский район, тер. СНТ "Кузнец-1", ул. 4 первого участка, уч. №54. Технологическое присоединение».</w:t>
            </w:r>
          </w:p>
          <w:p w:rsidR="00951495" w:rsidRPr="00951495" w:rsidRDefault="00951495" w:rsidP="00951495">
            <w:pPr>
              <w:rPr>
                <w:rFonts w:eastAsia="Courier New"/>
                <w:b/>
                <w:bCs/>
                <w:sz w:val="22"/>
                <w:szCs w:val="22"/>
              </w:rPr>
            </w:pPr>
            <w:r w:rsidRPr="00951495">
              <w:rPr>
                <w:b/>
                <w:sz w:val="22"/>
                <w:szCs w:val="22"/>
              </w:rPr>
              <w:t>Выполнение инженерно-геологических работ по объектам:</w:t>
            </w:r>
            <w:r w:rsidRPr="00951495">
              <w:rPr>
                <w:rFonts w:eastAsia="Courier New"/>
                <w:b/>
                <w:bCs/>
                <w:sz w:val="22"/>
                <w:szCs w:val="22"/>
              </w:rPr>
              <w:t xml:space="preserve"> </w:t>
            </w:r>
          </w:p>
          <w:p w:rsidR="00951495" w:rsidRPr="00951495" w:rsidRDefault="00951495" w:rsidP="00951495">
            <w:pPr>
              <w:rPr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Капитанская, д. 6а. Технологическое присоединение</w:t>
            </w:r>
            <w:r w:rsidRPr="00951495">
              <w:rPr>
                <w:sz w:val="22"/>
                <w:szCs w:val="22"/>
              </w:rPr>
              <w:t>.»</w:t>
            </w:r>
          </w:p>
          <w:p w:rsidR="00951495" w:rsidRPr="00951495" w:rsidRDefault="00951495" w:rsidP="00951495">
            <w:pPr>
              <w:rPr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СНТ "Садовод Любитель-1", ул. 11, уч. 974. Технологическое присоединение</w:t>
            </w:r>
            <w:r w:rsidRPr="00951495">
              <w:rPr>
                <w:sz w:val="22"/>
                <w:szCs w:val="22"/>
              </w:rPr>
              <w:t>.»</w:t>
            </w:r>
          </w:p>
          <w:p w:rsidR="00951495" w:rsidRPr="00951495" w:rsidRDefault="00951495" w:rsidP="00951495">
            <w:pPr>
              <w:rPr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низкого давления от точки подключения до границы земельного участка по адресу: г. Челябинск, пр. Победы, д. 234. Технологическое присоединение</w:t>
            </w:r>
            <w:r w:rsidRPr="00951495">
              <w:rPr>
                <w:sz w:val="22"/>
                <w:szCs w:val="22"/>
              </w:rPr>
              <w:t>.»</w:t>
            </w:r>
          </w:p>
          <w:p w:rsidR="00951495" w:rsidRPr="00951495" w:rsidRDefault="00951495" w:rsidP="00951495">
            <w:pPr>
              <w:rPr>
                <w:sz w:val="22"/>
                <w:szCs w:val="22"/>
              </w:rPr>
            </w:pPr>
            <w:r w:rsidRPr="00951495">
              <w:rPr>
                <w:rFonts w:eastAsia="Courier New"/>
                <w:bCs/>
                <w:sz w:val="22"/>
                <w:szCs w:val="22"/>
              </w:rPr>
              <w:t>«Газопровод высокого давления от точки подключения до границы земельного участка по адресу: г. Челябинск, Троицкий тракт, 19-з.Технологическое присоединение</w:t>
            </w:r>
            <w:r w:rsidRPr="00951495">
              <w:rPr>
                <w:sz w:val="22"/>
                <w:szCs w:val="22"/>
              </w:rPr>
              <w:t>.»</w:t>
            </w:r>
          </w:p>
          <w:p w:rsidR="00951495" w:rsidRPr="00951495" w:rsidRDefault="00951495" w:rsidP="006F5F29">
            <w:pPr>
              <w:pStyle w:val="a8"/>
            </w:pPr>
          </w:p>
          <w:p w:rsidR="00B236BA" w:rsidRPr="00951495" w:rsidRDefault="00085544" w:rsidP="006F5F29">
            <w:pPr>
              <w:pStyle w:val="a8"/>
            </w:pPr>
            <w:r w:rsidRPr="00951495">
              <w:t>Объем работ/услуг</w:t>
            </w:r>
            <w:r w:rsidR="00692FB8" w:rsidRPr="00951495">
              <w:t xml:space="preserve">: </w:t>
            </w:r>
            <w:r w:rsidRPr="00951495">
              <w:t>в соответствии с Техническим заданием</w:t>
            </w:r>
          </w:p>
        </w:tc>
      </w:tr>
      <w:tr w:rsidR="00B236BA" w:rsidRPr="00951495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8"/>
            </w:pPr>
            <w:r w:rsidRPr="00951495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951495" w:rsidRDefault="00C54F75">
            <w:pPr>
              <w:pStyle w:val="a8"/>
              <w:rPr>
                <w:highlight w:val="yellow"/>
              </w:rPr>
            </w:pPr>
            <w:r w:rsidRPr="00951495">
              <w:t>Челябинская область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951495" w:rsidRDefault="00B236BA">
            <w:pPr>
              <w:jc w:val="both"/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951495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951495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951495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951495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951495" w:rsidRDefault="00951495" w:rsidP="000E3C51">
            <w:pPr>
              <w:pStyle w:val="ab"/>
              <w:rPr>
                <w:b/>
              </w:rPr>
            </w:pPr>
            <w:r w:rsidRPr="00951495">
              <w:rPr>
                <w:b/>
                <w:lang w:eastAsia="en-US"/>
              </w:rPr>
              <w:t>660 476,40</w:t>
            </w:r>
            <w:r w:rsidR="000E3C51" w:rsidRPr="00951495">
              <w:rPr>
                <w:b/>
                <w:lang w:eastAsia="en-US"/>
              </w:rPr>
              <w:t xml:space="preserve"> </w:t>
            </w:r>
            <w:r w:rsidR="000E3C51" w:rsidRPr="00951495">
              <w:rPr>
                <w:b/>
                <w:noProof/>
              </w:rPr>
              <w:t>руб.</w:t>
            </w:r>
          </w:p>
          <w:p w:rsidR="000E3C51" w:rsidRPr="00951495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951495" w:rsidRDefault="000E3C51" w:rsidP="000E3C51">
            <w:pPr>
              <w:pStyle w:val="ab"/>
              <w:rPr>
                <w:lang w:eastAsia="en-US"/>
              </w:rPr>
            </w:pPr>
            <w:r w:rsidRPr="00951495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(без  НДС):</w:t>
            </w:r>
          </w:p>
          <w:p w:rsidR="000E3C51" w:rsidRPr="00951495" w:rsidRDefault="000E3C51" w:rsidP="000E3C51">
            <w:pPr>
              <w:pStyle w:val="ab"/>
            </w:pPr>
          </w:p>
          <w:p w:rsidR="000E3C51" w:rsidRPr="00951495" w:rsidRDefault="00951495" w:rsidP="000E3C51">
            <w:pPr>
              <w:pStyle w:val="ab"/>
              <w:rPr>
                <w:b/>
              </w:rPr>
            </w:pPr>
            <w:r w:rsidRPr="00951495">
              <w:rPr>
                <w:b/>
                <w:lang w:eastAsia="en-US"/>
              </w:rPr>
              <w:t>550 397,00</w:t>
            </w:r>
            <w:r w:rsidR="00945B39" w:rsidRPr="00951495">
              <w:rPr>
                <w:b/>
                <w:lang w:eastAsia="en-US"/>
              </w:rPr>
              <w:t xml:space="preserve"> </w:t>
            </w:r>
            <w:r w:rsidR="000E3C51" w:rsidRPr="00951495">
              <w:rPr>
                <w:b/>
                <w:noProof/>
              </w:rPr>
              <w:t>руб.</w:t>
            </w:r>
          </w:p>
          <w:p w:rsidR="00B236BA" w:rsidRPr="00951495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6F5F29">
            <w:pPr>
              <w:pStyle w:val="a8"/>
            </w:pPr>
            <w:r w:rsidRPr="00951495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6F5F29">
            <w:pPr>
              <w:pStyle w:val="a8"/>
            </w:pPr>
            <w:r w:rsidRPr="00951495">
              <w:t>До окончания срока подачи Заявок на участие в Закупке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6F5F29">
            <w:pPr>
              <w:pStyle w:val="a8"/>
            </w:pPr>
            <w:r w:rsidRPr="00951495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951495" w:rsidRDefault="00B236BA" w:rsidP="00371084">
            <w:pPr>
              <w:pStyle w:val="a8"/>
            </w:pPr>
            <w:r w:rsidRPr="00951495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CD4697">
            <w:pPr>
              <w:pStyle w:val="a8"/>
            </w:pPr>
            <w:r w:rsidRPr="00951495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951495" w:rsidRDefault="00B236BA">
            <w:pPr>
              <w:pStyle w:val="a8"/>
            </w:pPr>
            <w:r w:rsidRPr="00951495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951495">
              <w:t xml:space="preserve"> </w:t>
            </w:r>
            <w:r w:rsidRPr="00951495">
              <w:rPr>
                <w:noProof/>
                <w:highlight w:val="lightGray"/>
              </w:rPr>
              <w:t>https://etp.gpb.ru/</w:t>
            </w:r>
            <w:r w:rsidRPr="00951495">
              <w:t>.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3F7AE1" w:rsidP="00EA191D">
            <w:pPr>
              <w:pStyle w:val="a8"/>
            </w:pPr>
            <w:r w:rsidRPr="00951495">
              <w:t>Порядок</w:t>
            </w:r>
            <w:r w:rsidR="00B236BA" w:rsidRPr="00951495">
              <w:t xml:space="preserve">, дата и время начала, дата и время окончания срока подачи Заявок на участие </w:t>
            </w:r>
            <w:r w:rsidR="00B236BA" w:rsidRPr="00951495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>
            <w:pPr>
              <w:pStyle w:val="a8"/>
            </w:pPr>
            <w:r w:rsidRPr="00951495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951495" w:rsidRDefault="00B236BA">
            <w:pPr>
              <w:pStyle w:val="a8"/>
            </w:pPr>
          </w:p>
          <w:p w:rsidR="00B236BA" w:rsidRPr="00951495" w:rsidRDefault="00B236BA">
            <w:pPr>
              <w:pStyle w:val="a8"/>
            </w:pPr>
            <w:r w:rsidRPr="00951495">
              <w:t xml:space="preserve">Дата и время начала приема Заявок на участие в Закупке: </w:t>
            </w:r>
            <w:r w:rsidR="00584DCD">
              <w:t xml:space="preserve"> 10.12.2021 г</w:t>
            </w:r>
            <w:r w:rsidR="007F57FB" w:rsidRPr="00951495">
              <w:t>00.00</w:t>
            </w:r>
          </w:p>
          <w:p w:rsidR="00B236BA" w:rsidRPr="00951495" w:rsidRDefault="00B236BA">
            <w:pPr>
              <w:pStyle w:val="a8"/>
            </w:pPr>
          </w:p>
          <w:p w:rsidR="00B236BA" w:rsidRPr="00951495" w:rsidRDefault="00B236BA">
            <w:pPr>
              <w:pStyle w:val="a8"/>
              <w:rPr>
                <w:rFonts w:eastAsia="Calibri"/>
              </w:rPr>
            </w:pPr>
            <w:r w:rsidRPr="00951495">
              <w:t xml:space="preserve">Дата окончания приема Заявок на участие в Закупке: </w:t>
            </w:r>
            <w:r w:rsidR="00584DCD">
              <w:rPr>
                <w:noProof/>
              </w:rPr>
              <w:t>17.12.2021 г. 12</w:t>
            </w:r>
            <w:r w:rsidR="007F57FB" w:rsidRPr="00951495">
              <w:rPr>
                <w:noProof/>
              </w:rPr>
              <w:t>.</w:t>
            </w:r>
            <w:r w:rsidR="00584DCD">
              <w:rPr>
                <w:noProof/>
              </w:rPr>
              <w:t>00</w:t>
            </w:r>
            <w:r w:rsidR="00FA307D" w:rsidRPr="00951495">
              <w:t xml:space="preserve"> </w:t>
            </w:r>
            <w:r w:rsidR="00FA307D" w:rsidRPr="00951495">
              <w:rPr>
                <w:noProof/>
              </w:rPr>
              <w:t>(время местное - GMT +5)</w:t>
            </w:r>
            <w:r w:rsidRPr="00951495">
              <w:rPr>
                <w:rFonts w:eastAsia="Calibri"/>
              </w:rPr>
              <w:t xml:space="preserve"> </w:t>
            </w:r>
          </w:p>
          <w:p w:rsidR="00B236BA" w:rsidRPr="00951495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8F4A74">
            <w:pPr>
              <w:pStyle w:val="a8"/>
            </w:pPr>
            <w:r w:rsidRPr="00951495">
              <w:t>Дата и время открытия доступа к первым частям заявок на участие в Закупке</w:t>
            </w:r>
          </w:p>
          <w:p w:rsidR="00B236BA" w:rsidRPr="00951495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8F4A74">
            <w:pPr>
              <w:pStyle w:val="a8"/>
              <w:rPr>
                <w:rFonts w:eastAsia="Calibri"/>
              </w:rPr>
            </w:pPr>
            <w:r w:rsidRPr="00951495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584DCD">
              <w:rPr>
                <w:noProof/>
              </w:rPr>
              <w:t>17.12.2021</w:t>
            </w:r>
            <w:r w:rsidR="007F57FB" w:rsidRPr="00951495">
              <w:rPr>
                <w:noProof/>
              </w:rPr>
              <w:t xml:space="preserve"> </w:t>
            </w:r>
            <w:r w:rsidR="00584DCD">
              <w:rPr>
                <w:noProof/>
              </w:rPr>
              <w:t>12</w:t>
            </w:r>
            <w:r w:rsidR="007F57FB" w:rsidRPr="00951495">
              <w:rPr>
                <w:noProof/>
              </w:rPr>
              <w:t>.0</w:t>
            </w:r>
            <w:r w:rsidR="00584DCD">
              <w:rPr>
                <w:noProof/>
              </w:rPr>
              <w:t>1</w:t>
            </w:r>
            <w:r w:rsidR="00FA307D" w:rsidRPr="00951495">
              <w:t xml:space="preserve"> </w:t>
            </w:r>
            <w:r w:rsidR="00FA307D" w:rsidRPr="00951495">
              <w:rPr>
                <w:noProof/>
              </w:rPr>
              <w:t>(время местное - GMT +5)</w:t>
            </w:r>
            <w:r w:rsidR="00FA307D" w:rsidRPr="00951495">
              <w:rPr>
                <w:rFonts w:eastAsia="Calibri"/>
              </w:rPr>
              <w:t xml:space="preserve"> </w:t>
            </w:r>
          </w:p>
          <w:p w:rsidR="00B236BA" w:rsidRPr="00951495" w:rsidRDefault="00B236BA" w:rsidP="008F4A74">
            <w:pPr>
              <w:pStyle w:val="a8"/>
            </w:pP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98483D">
            <w:pPr>
              <w:pStyle w:val="ab"/>
            </w:pPr>
            <w:r w:rsidRPr="00951495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98483D">
            <w:pPr>
              <w:pStyle w:val="a8"/>
              <w:rPr>
                <w:rFonts w:eastAsia="Calibri"/>
              </w:rPr>
            </w:pPr>
            <w:r w:rsidRPr="00951495">
              <w:t xml:space="preserve">Не позднее </w:t>
            </w:r>
            <w:r w:rsidR="00584DCD">
              <w:rPr>
                <w:noProof/>
              </w:rPr>
              <w:t>20.12.2021 17:00</w:t>
            </w:r>
            <w:r w:rsidR="00FA307D" w:rsidRPr="00951495">
              <w:t xml:space="preserve"> </w:t>
            </w:r>
            <w:r w:rsidR="00FA307D" w:rsidRPr="00951495">
              <w:rPr>
                <w:noProof/>
              </w:rPr>
              <w:t>(время местное - GMT +5)</w:t>
            </w:r>
            <w:r w:rsidR="00FA307D" w:rsidRPr="00951495">
              <w:rPr>
                <w:rFonts w:eastAsia="Calibri"/>
              </w:rPr>
              <w:t xml:space="preserve"> </w:t>
            </w:r>
          </w:p>
          <w:p w:rsidR="00B236BA" w:rsidRPr="00951495" w:rsidRDefault="00B236BA">
            <w:pPr>
              <w:pStyle w:val="a8"/>
            </w:pPr>
          </w:p>
        </w:tc>
      </w:tr>
      <w:tr w:rsidR="00B236BA" w:rsidRPr="00951495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951495" w:rsidRDefault="00B236BA" w:rsidP="000C580E">
            <w:pPr>
              <w:pStyle w:val="ab"/>
            </w:pPr>
            <w:r w:rsidRPr="00951495">
              <w:t>Дата направления Организатору вторых частей Заявок</w:t>
            </w:r>
          </w:p>
          <w:p w:rsidR="00B236BA" w:rsidRPr="00951495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951495" w:rsidRDefault="00B236BA" w:rsidP="00584DCD">
            <w:pPr>
              <w:pStyle w:val="ab"/>
            </w:pPr>
            <w:r w:rsidRPr="00951495">
              <w:t xml:space="preserve">Не позднее </w:t>
            </w:r>
            <w:r w:rsidR="00584DCD">
              <w:rPr>
                <w:noProof/>
              </w:rPr>
              <w:t>20.12.2021 17:01</w:t>
            </w:r>
            <w:r w:rsidR="00FA307D" w:rsidRPr="00951495">
              <w:t xml:space="preserve"> </w:t>
            </w:r>
            <w:r w:rsidR="00FA307D" w:rsidRPr="00951495">
              <w:rPr>
                <w:noProof/>
              </w:rPr>
              <w:t>(время местное - GMT +5)</w:t>
            </w:r>
            <w:r w:rsidR="00FA307D" w:rsidRPr="00951495">
              <w:rPr>
                <w:rFonts w:eastAsia="Calibri"/>
              </w:rPr>
              <w:t xml:space="preserve">, </w:t>
            </w:r>
            <w:r w:rsidRPr="00951495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951495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951495" w:rsidRDefault="00B236BA" w:rsidP="000C580E">
            <w:pPr>
              <w:pStyle w:val="ab"/>
            </w:pPr>
            <w:r w:rsidRPr="00951495">
              <w:t>Дата и время рассмотрения вторых частей Заявок</w:t>
            </w:r>
          </w:p>
          <w:p w:rsidR="00B236BA" w:rsidRPr="00951495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951495" w:rsidRDefault="007F57FB" w:rsidP="00584DCD">
            <w:pPr>
              <w:rPr>
                <w:sz w:val="22"/>
                <w:szCs w:val="22"/>
              </w:rPr>
            </w:pPr>
            <w:r w:rsidRPr="00951495">
              <w:rPr>
                <w:sz w:val="22"/>
                <w:szCs w:val="22"/>
              </w:rPr>
              <w:t xml:space="preserve">Не позднее </w:t>
            </w:r>
            <w:r w:rsidR="00584DCD">
              <w:rPr>
                <w:sz w:val="22"/>
                <w:szCs w:val="22"/>
              </w:rPr>
              <w:t>22.12.2021</w:t>
            </w:r>
            <w:r w:rsidRPr="00951495">
              <w:rPr>
                <w:sz w:val="22"/>
                <w:szCs w:val="22"/>
              </w:rPr>
              <w:t xml:space="preserve"> 17.00</w:t>
            </w:r>
            <w:r w:rsidR="00FA307D" w:rsidRPr="00951495">
              <w:rPr>
                <w:sz w:val="22"/>
                <w:szCs w:val="22"/>
              </w:rPr>
              <w:t xml:space="preserve"> (время местное - GMT +5)</w:t>
            </w:r>
          </w:p>
        </w:tc>
      </w:tr>
      <w:tr w:rsidR="00B236BA" w:rsidRPr="00951495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951495" w:rsidRDefault="00B236BA" w:rsidP="000C580E">
            <w:pPr>
              <w:pStyle w:val="a8"/>
            </w:pPr>
            <w:r w:rsidRPr="00951495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951495" w:rsidRDefault="00B236BA" w:rsidP="00584DCD">
            <w:pPr>
              <w:pStyle w:val="a8"/>
            </w:pPr>
            <w:r w:rsidRPr="00951495">
              <w:t xml:space="preserve">Не позднее </w:t>
            </w:r>
            <w:r w:rsidR="00584DCD">
              <w:rPr>
                <w:noProof/>
              </w:rPr>
              <w:t>24.12.2021</w:t>
            </w:r>
            <w:r w:rsidR="007F57FB" w:rsidRPr="00951495">
              <w:rPr>
                <w:noProof/>
              </w:rPr>
              <w:t xml:space="preserve"> 17.00</w:t>
            </w:r>
            <w:r w:rsidR="00FA307D" w:rsidRPr="00951495">
              <w:t xml:space="preserve"> </w:t>
            </w:r>
            <w:r w:rsidR="00FA307D" w:rsidRPr="00951495">
              <w:rPr>
                <w:noProof/>
              </w:rPr>
              <w:t>(время местное - GMT +5)</w:t>
            </w:r>
          </w:p>
        </w:tc>
      </w:tr>
      <w:tr w:rsidR="003F7AE1" w:rsidRPr="00951495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951495" w:rsidRDefault="003F7AE1" w:rsidP="006F5F29">
            <w:pPr>
              <w:pStyle w:val="a8"/>
            </w:pPr>
            <w:r w:rsidRPr="00951495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951495" w:rsidRDefault="001724C6" w:rsidP="0044374F">
            <w:pPr>
              <w:pStyle w:val="a8"/>
            </w:pPr>
            <w:r w:rsidRPr="00951495">
              <w:t>Порядок подведения итогов указан в Документации.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951495"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700CEE">
            <w:pPr>
              <w:pStyle w:val="a8"/>
            </w:pPr>
            <w:r w:rsidRPr="00951495">
              <w:t>Требование о пр</w:t>
            </w:r>
            <w:r w:rsidR="00700CEE" w:rsidRPr="00951495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1407B6" w:rsidP="006F5F29">
            <w:pPr>
              <w:pStyle w:val="a8"/>
            </w:pPr>
            <w:r w:rsidRPr="00951495">
              <w:t>Не предусмотрено.</w:t>
            </w:r>
          </w:p>
        </w:tc>
      </w:tr>
      <w:tr w:rsidR="00700CEE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951495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951495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951495" w:rsidRDefault="00700CEE" w:rsidP="00700CEE">
            <w:pPr>
              <w:pStyle w:val="a8"/>
            </w:pPr>
            <w:r w:rsidRPr="00951495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951495" w:rsidRDefault="001407B6" w:rsidP="006F5F29">
            <w:pPr>
              <w:pStyle w:val="a8"/>
            </w:pPr>
            <w:r w:rsidRPr="00951495">
              <w:t>Не предусмотрено.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6F5F29">
            <w:pPr>
              <w:pStyle w:val="a8"/>
            </w:pPr>
            <w:r w:rsidRPr="00951495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 w:rsidP="00EA191D">
            <w:pPr>
              <w:pStyle w:val="a8"/>
            </w:pPr>
            <w:r w:rsidRPr="00951495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B236BA">
            <w:pPr>
              <w:pStyle w:val="a8"/>
            </w:pPr>
            <w:r w:rsidRPr="00951495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51495" w:rsidRDefault="00584DCD">
            <w:pPr>
              <w:pStyle w:val="a8"/>
            </w:pPr>
            <w:r>
              <w:t>09.12.2021</w:t>
            </w:r>
            <w:bookmarkStart w:id="0" w:name="_GoBack"/>
            <w:bookmarkEnd w:id="0"/>
          </w:p>
        </w:tc>
      </w:tr>
      <w:tr w:rsidR="00B236BA" w:rsidRPr="00951495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951495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>
            <w:pPr>
              <w:pStyle w:val="a8"/>
            </w:pPr>
            <w:r w:rsidRPr="00951495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51495" w:rsidRDefault="00B236BA">
            <w:pPr>
              <w:pStyle w:val="a8"/>
              <w:rPr>
                <w:noProof/>
                <w:highlight w:val="lightGray"/>
              </w:rPr>
            </w:pPr>
            <w:r w:rsidRPr="00951495">
              <w:rPr>
                <w:noProof/>
              </w:rPr>
              <w:t>Установлено</w:t>
            </w:r>
          </w:p>
        </w:tc>
      </w:tr>
    </w:tbl>
    <w:p w:rsidR="00B236BA" w:rsidRPr="00951495" w:rsidRDefault="00B236BA" w:rsidP="00DA6AE4">
      <w:pPr>
        <w:rPr>
          <w:sz w:val="22"/>
          <w:szCs w:val="22"/>
        </w:rPr>
        <w:sectPr w:rsidR="00B236BA" w:rsidRPr="00951495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Pr="00951495" w:rsidRDefault="00B236BA" w:rsidP="00DA6AE4">
      <w:pPr>
        <w:rPr>
          <w:sz w:val="22"/>
          <w:szCs w:val="22"/>
        </w:rPr>
        <w:sectPr w:rsidR="00B236BA" w:rsidRPr="00951495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951495" w:rsidRDefault="00B236BA" w:rsidP="00DA6AE4">
      <w:pPr>
        <w:rPr>
          <w:sz w:val="22"/>
          <w:szCs w:val="22"/>
        </w:rPr>
      </w:pPr>
    </w:p>
    <w:sectPr w:rsidR="00B236BA" w:rsidRPr="00951495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88E" w:rsidRDefault="0091488E" w:rsidP="000C580E">
      <w:r>
        <w:separator/>
      </w:r>
    </w:p>
  </w:endnote>
  <w:endnote w:type="continuationSeparator" w:id="0">
    <w:p w:rsidR="0091488E" w:rsidRDefault="0091488E" w:rsidP="000C580E">
      <w:r>
        <w:continuationSeparator/>
      </w:r>
    </w:p>
  </w:endnote>
  <w:endnote w:type="continuationNotice" w:id="1">
    <w:p w:rsidR="0091488E" w:rsidRDefault="00914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584DCD">
              <w:rPr>
                <w:bCs/>
                <w:noProof/>
              </w:rPr>
              <w:t>4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584DCD">
              <w:rPr>
                <w:bCs/>
                <w:noProof/>
              </w:rPr>
              <w:t>4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88E" w:rsidRDefault="0091488E" w:rsidP="000C580E">
      <w:r>
        <w:separator/>
      </w:r>
    </w:p>
  </w:footnote>
  <w:footnote w:type="continuationSeparator" w:id="0">
    <w:p w:rsidR="0091488E" w:rsidRDefault="0091488E" w:rsidP="000C580E">
      <w:r>
        <w:continuationSeparator/>
      </w:r>
    </w:p>
  </w:footnote>
  <w:footnote w:type="continuationNotice" w:id="1">
    <w:p w:rsidR="0091488E" w:rsidRDefault="009148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abstractNum w:abstractNumId="2">
    <w:nsid w:val="751627F6"/>
    <w:multiLevelType w:val="hybridMultilevel"/>
    <w:tmpl w:val="4154B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40BF4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10E5"/>
    <w:rsid w:val="003057EF"/>
    <w:rsid w:val="0033699D"/>
    <w:rsid w:val="00345860"/>
    <w:rsid w:val="00347834"/>
    <w:rsid w:val="00371084"/>
    <w:rsid w:val="00390990"/>
    <w:rsid w:val="003A5561"/>
    <w:rsid w:val="003B4C10"/>
    <w:rsid w:val="003F5EA4"/>
    <w:rsid w:val="003F7AE1"/>
    <w:rsid w:val="00435874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A6E4F"/>
    <w:rsid w:val="004B02B2"/>
    <w:rsid w:val="004C06D7"/>
    <w:rsid w:val="004E10B8"/>
    <w:rsid w:val="004F3332"/>
    <w:rsid w:val="0051023E"/>
    <w:rsid w:val="00556959"/>
    <w:rsid w:val="005676CC"/>
    <w:rsid w:val="00584DCD"/>
    <w:rsid w:val="00591C7D"/>
    <w:rsid w:val="00595D77"/>
    <w:rsid w:val="005D349B"/>
    <w:rsid w:val="005D75AF"/>
    <w:rsid w:val="005F0076"/>
    <w:rsid w:val="005F3869"/>
    <w:rsid w:val="005F5C34"/>
    <w:rsid w:val="006167F0"/>
    <w:rsid w:val="00641FF5"/>
    <w:rsid w:val="00656068"/>
    <w:rsid w:val="006633B1"/>
    <w:rsid w:val="0066467C"/>
    <w:rsid w:val="00682DB7"/>
    <w:rsid w:val="00692FB8"/>
    <w:rsid w:val="006967F0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47E66"/>
    <w:rsid w:val="0075018C"/>
    <w:rsid w:val="00751FB4"/>
    <w:rsid w:val="00763C18"/>
    <w:rsid w:val="00775CDD"/>
    <w:rsid w:val="00783ED4"/>
    <w:rsid w:val="00786C7C"/>
    <w:rsid w:val="00795194"/>
    <w:rsid w:val="00796044"/>
    <w:rsid w:val="007A25EE"/>
    <w:rsid w:val="007C01C6"/>
    <w:rsid w:val="007C0A9C"/>
    <w:rsid w:val="007F57FB"/>
    <w:rsid w:val="00842496"/>
    <w:rsid w:val="00862CB1"/>
    <w:rsid w:val="0087592F"/>
    <w:rsid w:val="008B0D12"/>
    <w:rsid w:val="008B3B16"/>
    <w:rsid w:val="008C7405"/>
    <w:rsid w:val="008D09D8"/>
    <w:rsid w:val="008E151B"/>
    <w:rsid w:val="008F3145"/>
    <w:rsid w:val="008F4A74"/>
    <w:rsid w:val="009050B6"/>
    <w:rsid w:val="0091488E"/>
    <w:rsid w:val="00926A92"/>
    <w:rsid w:val="00931675"/>
    <w:rsid w:val="00944E65"/>
    <w:rsid w:val="00945B39"/>
    <w:rsid w:val="009506A3"/>
    <w:rsid w:val="00951495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4744"/>
    <w:rsid w:val="00B16E7D"/>
    <w:rsid w:val="00B21BF3"/>
    <w:rsid w:val="00B236BA"/>
    <w:rsid w:val="00B54E3B"/>
    <w:rsid w:val="00B75DDC"/>
    <w:rsid w:val="00B90C5E"/>
    <w:rsid w:val="00BA04FA"/>
    <w:rsid w:val="00BA4BD6"/>
    <w:rsid w:val="00BB3146"/>
    <w:rsid w:val="00BE3319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A5BB8"/>
    <w:rsid w:val="00CB0748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1312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A4729"/>
    <w:rsid w:val="00ED2F61"/>
    <w:rsid w:val="00EE5A08"/>
    <w:rsid w:val="00F53C18"/>
    <w:rsid w:val="00F625C1"/>
    <w:rsid w:val="00F67A98"/>
    <w:rsid w:val="00F717C6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  <w:style w:type="paragraph" w:styleId="af2">
    <w:name w:val="List Paragraph"/>
    <w:basedOn w:val="a0"/>
    <w:uiPriority w:val="34"/>
    <w:qFormat/>
    <w:rsid w:val="00945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271A-90D5-45F0-ADDF-AF000DC5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Залялютдинова Дина Галимьяновна</cp:lastModifiedBy>
  <cp:revision>14</cp:revision>
  <dcterms:created xsi:type="dcterms:W3CDTF">2021-10-26T04:28:00Z</dcterms:created>
  <dcterms:modified xsi:type="dcterms:W3CDTF">2021-12-09T07:31:00Z</dcterms:modified>
</cp:coreProperties>
</file>