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212BB5" w:rsidP="0034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  <w:bookmarkStart w:id="0" w:name="_GoBack"/>
            <w:bookmarkEnd w:id="0"/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EC0560" w:rsidRDefault="00F77490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bCs/>
                                              <w:color w:val="8496B0" w:themeColor="text2" w:themeTint="99"/>
                                              <w:spacing w:val="10"/>
                                            </w:rPr>
                                            <w:id w:val="-1811170428"/>
                                            <w:placeholder>
                                              <w:docPart w:val="41A29DAF306041F1949BC5A636780E94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Times New Roman" w:hAnsi="Times New Roman" w:cs="Times New Roman"/>
                                                  <w:bCs/>
                                                </w:rPr>
                                                <w:id w:val="-416252209"/>
                                                <w:placeholder>
                                                  <w:docPart w:val="F9D78AFF5C24488196305E7FF4A48CD4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r w:rsidR="00EC0560" w:rsidRPr="00EC0560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Услуги по технической эксплуатации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  <w:r w:rsidR="0061329A" w:rsidRPr="00EC0560">
                                      <w:rPr>
                                        <w:rFonts w:ascii="Times New Roman" w:eastAsia="Times New Roman" w:hAnsi="Times New Roman" w:cs="Times New Roman"/>
                                        <w:spacing w:val="1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="004C2893" w:rsidRPr="00EC0560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F77490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F77490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530"/>
              <w:gridCol w:w="2514"/>
              <w:gridCol w:w="1996"/>
              <w:gridCol w:w="1153"/>
              <w:gridCol w:w="1723"/>
            </w:tblGrid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15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Адрес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Назначение помещения</w:t>
                  </w:r>
                </w:p>
              </w:tc>
              <w:tc>
                <w:tcPr>
                  <w:tcW w:w="181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Занимаемая площадь, кв.м.</w:t>
                  </w:r>
                </w:p>
              </w:tc>
            </w:tr>
            <w:tr w:rsidR="003D5B3E" w:rsidRPr="00AE73DA" w:rsidTr="008A2024">
              <w:trPr>
                <w:trHeight w:val="465"/>
              </w:trPr>
              <w:tc>
                <w:tcPr>
                  <w:tcW w:w="3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Общая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прилегающая  территория</w:t>
                  </w:r>
                </w:p>
              </w:tc>
            </w:tr>
            <w:tr w:rsidR="003D5B3E" w:rsidRPr="00AE73DA" w:rsidTr="008A2024">
              <w:trPr>
                <w:trHeight w:val="528"/>
              </w:trPr>
              <w:tc>
                <w:tcPr>
                  <w:tcW w:w="3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ул. Рылеева, 8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АБК (администрация)</w:t>
                  </w:r>
                </w:p>
              </w:tc>
              <w:tc>
                <w:tcPr>
                  <w:tcW w:w="7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2369,85</w:t>
                  </w:r>
                </w:p>
              </w:tc>
              <w:tc>
                <w:tcPr>
                  <w:tcW w:w="1088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17208,3</w:t>
                  </w:r>
                </w:p>
              </w:tc>
            </w:tr>
            <w:tr w:rsidR="003D5B3E" w:rsidRPr="00AE73DA" w:rsidTr="008A2024">
              <w:trPr>
                <w:trHeight w:val="240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Здание ЦММ (мастерские)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1576,2</w:t>
                  </w:r>
                </w:p>
              </w:tc>
              <w:tc>
                <w:tcPr>
                  <w:tcW w:w="1088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Здание ЦАВС (аварийная служба)</w:t>
                  </w:r>
                </w:p>
              </w:tc>
              <w:tc>
                <w:tcPr>
                  <w:tcW w:w="7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920,1</w:t>
                  </w:r>
                </w:p>
              </w:tc>
              <w:tc>
                <w:tcPr>
                  <w:tcW w:w="1088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Спортивно-оздоровительный комплекс</w:t>
                  </w:r>
                </w:p>
              </w:tc>
              <w:tc>
                <w:tcPr>
                  <w:tcW w:w="7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890,4</w:t>
                  </w:r>
                </w:p>
              </w:tc>
              <w:tc>
                <w:tcPr>
                  <w:tcW w:w="1088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300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Здание АТС (авто-транспортная служба)</w:t>
                  </w:r>
                </w:p>
              </w:tc>
              <w:tc>
                <w:tcPr>
                  <w:tcW w:w="7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2786,5</w:t>
                  </w:r>
                </w:p>
              </w:tc>
              <w:tc>
                <w:tcPr>
                  <w:tcW w:w="1088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Котельная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152,7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ул.Жукова, 31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административное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436,5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2494,5</w:t>
                  </w:r>
                </w:p>
              </w:tc>
            </w:tr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Котельная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16,1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64"/>
              </w:trPr>
              <w:tc>
                <w:tcPr>
                  <w:tcW w:w="3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ул.Куйбышева, 17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Административно-производственные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1285,14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5027,0</w:t>
                  </w: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Котельная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52,2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ул.Харлова, 12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Административно-производственные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840,1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1914,2</w:t>
                  </w: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Котельная</w:t>
                  </w: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23,3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  <w:b/>
                    </w:rPr>
                  </w:pPr>
                  <w:r w:rsidRPr="00AE73DA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  <w:b/>
                    </w:rPr>
                  </w:pPr>
                  <w:r w:rsidRPr="00AE73DA">
                    <w:rPr>
                      <w:rFonts w:ascii="Times New Roman" w:hAnsi="Times New Roman" w:cs="Times New Roman"/>
                      <w:b/>
                    </w:rPr>
                    <w:t>11349,09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  <w:b/>
                    </w:rPr>
                  </w:pPr>
                  <w:r w:rsidRPr="00AE73DA">
                    <w:rPr>
                      <w:rFonts w:ascii="Times New Roman" w:hAnsi="Times New Roman" w:cs="Times New Roman"/>
                      <w:b/>
                    </w:rPr>
                    <w:t>26644</w:t>
                  </w: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Площадь котельных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244,3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Количество санузлов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42шт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Площадь душевых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86,6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Площадь сауны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5,3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Площадь бассейна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29,6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Площадь окон для мойки без использования автовышки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1365,5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 xml:space="preserve">Площадь окон для мойки с </w:t>
                  </w:r>
                  <w:r w:rsidRPr="00AE73DA">
                    <w:rPr>
                      <w:rFonts w:ascii="Times New Roman" w:hAnsi="Times New Roman" w:cs="Times New Roman"/>
                    </w:rPr>
                    <w:lastRenderedPageBreak/>
                    <w:t>использованием  автовышки</w:t>
                  </w: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 w:rsidRPr="00AE73DA">
                    <w:rPr>
                      <w:rFonts w:ascii="Times New Roman" w:hAnsi="Times New Roman" w:cs="Times New Roman"/>
                    </w:rPr>
                    <w:t>225 кв.м.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D5B3E" w:rsidRPr="00AE73DA" w:rsidTr="008A2024">
              <w:trPr>
                <w:trHeight w:val="27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B3E" w:rsidRPr="00AE73DA" w:rsidRDefault="003D5B3E" w:rsidP="003D5B3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BF7743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6 967 238.40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BF7743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5 806 032.00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885BB5" w:rsidRPr="00C67107" w:rsidRDefault="00885BB5" w:rsidP="00885BB5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ачало оказания услуг – с момента подписания договора, но не ранее 01.01.2022.</w:t>
            </w:r>
          </w:p>
          <w:p w:rsidR="00D54513" w:rsidRPr="008978D2" w:rsidRDefault="00885BB5" w:rsidP="00885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оказания услуг – по 31.12.2022.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sdt>
            <w:sdt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id w:val="733663131"/>
              <w:placeholder>
                <w:docPart w:val="F43B07F20418471794CF8282BA6FCCEE"/>
              </w:placeholder>
            </w:sdtPr>
            <w:sdtEndPr/>
            <w:sdtContent>
              <w:p w:rsidR="00751F51" w:rsidRPr="00AE73DA" w:rsidRDefault="00751F51" w:rsidP="00751F51">
                <w:pPr>
                  <w:pStyle w:val="af"/>
                  <w:spacing w:before="0" w:beforeAutospacing="0" w:after="0" w:afterAutospacing="0"/>
                  <w:jc w:val="both"/>
                </w:pPr>
                <w:r w:rsidRPr="00AE73DA">
                  <w:rPr>
                    <w:color w:val="000000"/>
                  </w:rPr>
                  <w:t xml:space="preserve">Допуск сотрудников организации, заключившей Договор на оказание услуг по </w:t>
                </w:r>
                <w:r w:rsidRPr="00AE73DA">
                  <w:t>уборке помещений Заказчика, будет осуществляться по результатам проверки,</w:t>
                </w:r>
                <w:r w:rsidRPr="00AE73DA">
                  <w:rPr>
                    <w:color w:val="FF0000"/>
                  </w:rPr>
                  <w:t xml:space="preserve"> </w:t>
                </w:r>
                <w:r w:rsidRPr="00AE73DA">
                  <w:t>для этого необходимо представить Заказчику после заключения Договора:</w:t>
                </w:r>
              </w:p>
              <w:p w:rsidR="00751F51" w:rsidRPr="00AE73DA" w:rsidRDefault="00751F51" w:rsidP="00751F51">
                <w:pPr>
                  <w:pStyle w:val="af"/>
                  <w:spacing w:before="0" w:beforeAutospacing="0" w:after="0" w:afterAutospacing="0"/>
                  <w:jc w:val="both"/>
                </w:pPr>
                <w:r w:rsidRPr="00AE73DA">
                  <w:t>- Копии паспортов сотрудников;</w:t>
                </w:r>
              </w:p>
              <w:p w:rsidR="00751F51" w:rsidRPr="00AE73DA" w:rsidRDefault="00751F51" w:rsidP="00751F51">
                <w:pPr>
                  <w:tabs>
                    <w:tab w:val="left" w:pos="142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 xml:space="preserve">- Письмо с графиками работы сотрудников и перечислением, убираемых ими, помещений. </w:t>
                </w:r>
              </w:p>
              <w:p w:rsidR="00751F51" w:rsidRPr="00AE73DA" w:rsidRDefault="00751F51" w:rsidP="00751F51">
                <w:pPr>
                  <w:tabs>
                    <w:tab w:val="left" w:pos="142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Все документы должны быть заверены печатью Исполнителя и подписью директора или начальника отдела кадров данной организации.</w:t>
                </w:r>
              </w:p>
              <w:p w:rsidR="00751F51" w:rsidRPr="00AE73DA" w:rsidRDefault="00751F51" w:rsidP="00751F51">
                <w:pPr>
                  <w:tabs>
                    <w:tab w:val="left" w:pos="142"/>
                  </w:tabs>
                  <w:ind w:firstLine="709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Весь персонал, оказывающий услуги, должен владеть русским языком, быть вежлив, иметь опрятный вид и чистую униформу, а также должен быть обучен методам и приемам профессиональной уборки, снабжен Исполнителем инвентарем, моющими, чистящими и дезинфицирующими средствами, расходными материалами в объеме, необходимом и достаточном для оказания услуг с надлежащим качеством.</w:t>
                </w:r>
              </w:p>
              <w:p w:rsidR="00751F51" w:rsidRPr="00AE73DA" w:rsidRDefault="00751F51" w:rsidP="00751F51">
                <w:pPr>
                  <w:tabs>
                    <w:tab w:val="left" w:pos="142"/>
                  </w:tabs>
                  <w:ind w:firstLine="709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По требованию Заказчика  для устранения последствий аварийной ситуации (последующая комплексная уборка объекта) Исполнитель предоставляет на объект мобильную группу персонала в течение двух часов с момента получения соответствующей заявки от Заказчика.</w:t>
                </w:r>
              </w:p>
              <w:p w:rsidR="00751F51" w:rsidRPr="00AE73DA" w:rsidRDefault="00751F51" w:rsidP="00751F51">
                <w:pPr>
                  <w:spacing w:before="60"/>
                  <w:ind w:firstLine="567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 xml:space="preserve">Ежедневно техническим менеджером должен осуществляться визуальный контроль за всей обслуживаемой площадью и оперативно устраняться выявленные загрязнения. </w:t>
                </w:r>
              </w:p>
              <w:p w:rsidR="00751F51" w:rsidRPr="00AE73DA" w:rsidRDefault="00751F51" w:rsidP="00751F51">
                <w:pPr>
                  <w:spacing w:before="60"/>
                  <w:ind w:firstLine="539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Исполнитель обеспечивает присутствие всех своих сотрудников в смену, с обязательным назначением технических менеджеров объектов и нахождении их на объектах в течение рабочего дня, с обязательным обеспечением постоянной оперативной связи с уполномоченным представителем заказчика.</w:t>
                </w:r>
              </w:p>
              <w:p w:rsidR="00751F51" w:rsidRPr="00AE73DA" w:rsidRDefault="00751F51" w:rsidP="00751F51">
                <w:pPr>
                  <w:spacing w:before="120"/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Все  сотрудники, работающие на объекте, должны быть обеспечены спецодеждой и спецобувью соответственно времени года.</w:t>
                </w:r>
              </w:p>
              <w:p w:rsidR="00751F51" w:rsidRPr="00AE73DA" w:rsidRDefault="00751F51" w:rsidP="00751F51">
                <w:pPr>
                  <w:spacing w:before="120"/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 xml:space="preserve">Материально-техническое обеспечение работ производится силами Исполнителя и/или силами привлеченных им третьих лиц. Все используемое </w:t>
                </w:r>
                <w:r w:rsidRPr="00AE73DA">
                  <w:rPr>
                    <w:rFonts w:ascii="Times New Roman" w:hAnsi="Times New Roman" w:cs="Times New Roman"/>
                  </w:rPr>
                  <w:lastRenderedPageBreak/>
                  <w:t xml:space="preserve">оборудование, технические средства, инвентарь предоставляется Исполнителем и/или привлеченными им третьими лицами. </w:t>
                </w:r>
              </w:p>
              <w:p w:rsidR="00751F51" w:rsidRPr="00AE73DA" w:rsidRDefault="00751F51" w:rsidP="00751F51">
                <w:pPr>
                  <w:suppressAutoHyphens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 xml:space="preserve">Исполнитель гарантирует качество используемых расходных материалов. Исполнитель обязан по первому требованию Заказчика, в срок до 2 дней, заменить некачественные расходные материалы на новые. </w:t>
                </w:r>
              </w:p>
              <w:p w:rsidR="00751F51" w:rsidRPr="00AE73DA" w:rsidRDefault="00751F51" w:rsidP="00751F51">
                <w:pPr>
                  <w:tabs>
                    <w:tab w:val="left" w:pos="9637"/>
                  </w:tabs>
                  <w:jc w:val="both"/>
                  <w:rPr>
                    <w:rFonts w:ascii="Times New Roman" w:hAnsi="Times New Roman" w:cs="Times New Roman"/>
                    <w:b/>
                    <w:i/>
                    <w:snapToGrid w:val="0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Используемые при оказании услуг материалы, средства и оборудование должны иметь  соответствующие сертификаты, технические паспорта либо иные документы, удостоверяющие их качество.</w:t>
                </w:r>
              </w:p>
              <w:p w:rsidR="00751F51" w:rsidRPr="00AE73DA" w:rsidRDefault="00751F51" w:rsidP="00751F51">
                <w:pPr>
                  <w:spacing w:before="60"/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 xml:space="preserve">Оказываемые услуги должны соответствовать требованиям государственного стандарта РФ ГОСТ 51870 - 2002 «Услуги бытовые. Услуги по уборке зданий и сооружений. Общие технические условия», других нормативных документов, а также действующим технологическим документам на услуги конкретного вида. </w:t>
                </w:r>
              </w:p>
              <w:p w:rsidR="00751F51" w:rsidRPr="00AE73DA" w:rsidRDefault="00751F51" w:rsidP="00751F51">
                <w:pPr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Химические средства (моющие, полирующие, пятно выводящие, дезинфицирующие, шампуни, антистатика, защитные составы) применяемые при оказании услуг по уборке, а также уборочный инвентарь (уборочные тележки, протирочный материал, швабры, щетки, губки, лопаты, грабли, метлы, скребки) должны использоваться в соответствии с инструкциями фирм – изготовителей;</w:t>
                </w:r>
              </w:p>
              <w:p w:rsidR="00751F51" w:rsidRPr="00AE73DA" w:rsidRDefault="00751F51" w:rsidP="00751F51">
                <w:pPr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Специальное технологическое оборудование и уборочный инвентарь, применяемые при оказании услуг по уборке, должны использоваться в соответствии с технологией уборки;</w:t>
                </w:r>
              </w:p>
              <w:p w:rsidR="00751F51" w:rsidRPr="00AE73DA" w:rsidRDefault="00751F51" w:rsidP="00751F51">
                <w:pPr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Технологическое оборудование и инвентарь, подлежащие обязательной сертификации, должны иметь сертификат соответствия;</w:t>
                </w:r>
              </w:p>
              <w:p w:rsidR="00751F51" w:rsidRDefault="00751F51" w:rsidP="00751F51">
                <w:pPr>
                  <w:spacing w:before="120"/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Оказание услуг производится с учетом соблюдения режима деятельности подразделений учреждения. Все масштабные уборочные мероприятия должны проводиться в нерабочее и заранее согласованное с Заказчиком время, во избежание создания неудобств работы учреждения.</w:t>
                </w:r>
              </w:p>
              <w:p w:rsidR="00E1232B" w:rsidRPr="008978D2" w:rsidRDefault="00F77490" w:rsidP="00751F51">
                <w:pPr>
                  <w:spacing w:before="120"/>
                  <w:ind w:firstLine="454"/>
                  <w:jc w:val="both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p w:rsidR="00751F51" w:rsidRPr="00AE73DA" w:rsidRDefault="00751F51" w:rsidP="00751F51">
            <w:pPr>
              <w:jc w:val="both"/>
              <w:rPr>
                <w:rFonts w:ascii="Times New Roman" w:hAnsi="Times New Roman" w:cs="Times New Roman"/>
              </w:rPr>
            </w:pPr>
            <w:r w:rsidRPr="00AE73DA">
              <w:rPr>
                <w:rFonts w:ascii="Times New Roman" w:hAnsi="Times New Roman" w:cs="Times New Roman"/>
                <w:b/>
              </w:rPr>
              <w:t>Требования к безопасности оказания услуг и безопасности результатов услуг</w:t>
            </w:r>
          </w:p>
          <w:p w:rsidR="00751F51" w:rsidRPr="00AE73DA" w:rsidRDefault="00751F51" w:rsidP="00751F51">
            <w:pPr>
              <w:numPr>
                <w:ilvl w:val="0"/>
                <w:numId w:val="1"/>
              </w:numPr>
              <w:tabs>
                <w:tab w:val="clear" w:pos="0"/>
                <w:tab w:val="num" w:pos="454"/>
              </w:tabs>
              <w:ind w:left="454" w:hanging="454"/>
              <w:jc w:val="both"/>
              <w:rPr>
                <w:rFonts w:ascii="Times New Roman" w:hAnsi="Times New Roman" w:cs="Times New Roman"/>
              </w:rPr>
            </w:pPr>
            <w:r w:rsidRPr="00AE73DA">
              <w:rPr>
                <w:rFonts w:ascii="Times New Roman" w:hAnsi="Times New Roman" w:cs="Times New Roman"/>
              </w:rPr>
              <w:t>При оказании услуг по уборке помещений должны быть обеспечены безопасность жизни, здоровья и сохранность имущества Заказчика;</w:t>
            </w:r>
          </w:p>
          <w:p w:rsidR="00751F51" w:rsidRPr="00AE73DA" w:rsidRDefault="00751F51" w:rsidP="00751F51">
            <w:pPr>
              <w:numPr>
                <w:ilvl w:val="0"/>
                <w:numId w:val="1"/>
              </w:numPr>
              <w:tabs>
                <w:tab w:val="clear" w:pos="0"/>
                <w:tab w:val="num" w:pos="454"/>
              </w:tabs>
              <w:ind w:left="454" w:hanging="454"/>
              <w:jc w:val="both"/>
              <w:rPr>
                <w:rFonts w:ascii="Times New Roman" w:hAnsi="Times New Roman" w:cs="Times New Roman"/>
              </w:rPr>
            </w:pPr>
            <w:r w:rsidRPr="00AE73DA">
              <w:rPr>
                <w:rFonts w:ascii="Times New Roman" w:hAnsi="Times New Roman" w:cs="Times New Roman"/>
              </w:rPr>
              <w:t>Оказание услуг по уборке помещений должно быть организовано в период времени, не создающий неудобств для труда сотрудников учреждения;</w:t>
            </w:r>
          </w:p>
          <w:p w:rsidR="00751F51" w:rsidRPr="00AE73DA" w:rsidRDefault="00751F51" w:rsidP="00751F51">
            <w:pPr>
              <w:numPr>
                <w:ilvl w:val="0"/>
                <w:numId w:val="1"/>
              </w:numPr>
              <w:tabs>
                <w:tab w:val="clear" w:pos="0"/>
                <w:tab w:val="num" w:pos="454"/>
              </w:tabs>
              <w:ind w:left="454" w:hanging="454"/>
              <w:jc w:val="both"/>
              <w:rPr>
                <w:rFonts w:ascii="Times New Roman" w:hAnsi="Times New Roman" w:cs="Times New Roman"/>
              </w:rPr>
            </w:pPr>
            <w:r w:rsidRPr="00AE73DA">
              <w:rPr>
                <w:rFonts w:ascii="Times New Roman" w:hAnsi="Times New Roman" w:cs="Times New Roman"/>
              </w:rPr>
              <w:t>При проведении уборочных операций следует соблюдать осторожность в часы, когда здание и прилегающая территория интенсивно используется и характер эксплуатации может требовать постоянной уборки;</w:t>
            </w:r>
          </w:p>
          <w:p w:rsidR="00751F51" w:rsidRPr="00AE73DA" w:rsidRDefault="00751F51" w:rsidP="00751F51">
            <w:pPr>
              <w:numPr>
                <w:ilvl w:val="0"/>
                <w:numId w:val="1"/>
              </w:numPr>
              <w:tabs>
                <w:tab w:val="clear" w:pos="0"/>
                <w:tab w:val="num" w:pos="454"/>
              </w:tabs>
              <w:ind w:left="454" w:hanging="454"/>
              <w:jc w:val="both"/>
              <w:rPr>
                <w:rFonts w:ascii="Times New Roman" w:hAnsi="Times New Roman" w:cs="Times New Roman"/>
              </w:rPr>
            </w:pPr>
            <w:r w:rsidRPr="00AE73DA">
              <w:rPr>
                <w:rFonts w:ascii="Times New Roman" w:hAnsi="Times New Roman" w:cs="Times New Roman"/>
              </w:rPr>
              <w:t>С целью исключения травматизма, убираемые площади следует ограждать специальными предупреждающими знаками.  При эксплуатации электрооборудования должны быть соблюдены меры безопасности;</w:t>
            </w:r>
          </w:p>
          <w:p w:rsidR="00751F51" w:rsidRDefault="00751F51" w:rsidP="00751F51">
            <w:pPr>
              <w:numPr>
                <w:ilvl w:val="0"/>
                <w:numId w:val="1"/>
              </w:numPr>
              <w:tabs>
                <w:tab w:val="num" w:pos="454"/>
              </w:tabs>
              <w:ind w:left="454" w:hanging="454"/>
              <w:jc w:val="both"/>
              <w:rPr>
                <w:bCs/>
              </w:rPr>
            </w:pPr>
            <w:r w:rsidRPr="00AE73DA">
              <w:rPr>
                <w:rFonts w:ascii="Times New Roman" w:hAnsi="Times New Roman" w:cs="Times New Roman"/>
              </w:rPr>
              <w:t>В целях сохранности имущества Заказчика рабочие Исполнителя должны быть ознакомлены с правилами пожарной безопасности по ГОСТ 12.1.004 и существующим планом мероприятий при возникновении пожара в тех зданиях и помещениях, где производится уборка.</w:t>
            </w:r>
          </w:p>
          <w:p w:rsidR="00F40A9E" w:rsidRPr="008978D2" w:rsidRDefault="00F40A9E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790056923"/>
              <w:placeholder>
                <w:docPart w:val="85134AFBC0A44F66ABDBDE690935E6FE"/>
              </w:placeholder>
            </w:sdtPr>
            <w:sdtEndPr/>
            <w:sdtContent>
              <w:p w:rsidR="0057331C" w:rsidRDefault="0057331C" w:rsidP="0057331C">
                <w:pPr>
                  <w:spacing w:before="60" w:after="200" w:line="276" w:lineRule="auto"/>
                  <w:ind w:firstLine="454"/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AE73DA">
                  <w:rPr>
                    <w:rFonts w:ascii="Times New Roman" w:hAnsi="Times New Roman" w:cs="Times New Roman"/>
                  </w:rPr>
                  <w:t>Оказываемые услуги должны соответствовать требованиям государственного стандарта РФ ГОСТ  Р 51870 - 2002 «Услуги бытовые</w:t>
                </w:r>
                <w:r w:rsidR="008A0418">
                  <w:rPr>
                    <w:rFonts w:ascii="Times New Roman" w:hAnsi="Times New Roman" w:cs="Times New Roman"/>
                  </w:rPr>
                  <w:t>»</w:t>
                </w:r>
                <w:r w:rsidRPr="00AE73DA">
                  <w:rPr>
                    <w:rFonts w:ascii="Times New Roman" w:hAnsi="Times New Roman" w:cs="Times New Roman"/>
                  </w:rPr>
                  <w:t xml:space="preserve">. Услуги по уборке зданий и сооружений. Общие технические условия», других нормативных документов, а также действующим технологическим документам на услуги конкретного вида. </w:t>
                </w: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p w:rsidR="008978D2" w:rsidRPr="008978D2" w:rsidRDefault="008978D2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8978D2">
                          <w:rPr>
                            <w:rFonts w:ascii="Times New Roman" w:hAnsi="Times New Roman" w:cs="Times New Roman"/>
                            <w:bCs/>
                          </w:rPr>
                          <w:t>Акционерное общество «Челябинскгоргаз»</w:t>
                        </w:r>
                      </w:p>
                      <w:p w:rsidR="008978D2" w:rsidRPr="008978D2" w:rsidRDefault="008978D2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8978D2">
                          <w:rPr>
                            <w:rFonts w:ascii="Times New Roman" w:hAnsi="Times New Roman" w:cs="Times New Roman"/>
                            <w:bCs/>
                          </w:rPr>
                          <w:t>АО «Челябинскгоргаз»</w:t>
                        </w:r>
                      </w:p>
                      <w:p w:rsidR="008978D2" w:rsidRPr="008978D2" w:rsidRDefault="008978D2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8978D2">
                          <w:rPr>
                            <w:rFonts w:ascii="Times New Roman" w:hAnsi="Times New Roman" w:cs="Times New Roman"/>
                            <w:bCs/>
                          </w:rPr>
                          <w:t>Место нахождения и почтовый адрес: 454087, г. Челябинск, ул. Рылеева, 8.</w:t>
                        </w:r>
                      </w:p>
                      <w:p w:rsidR="0057331C" w:rsidRPr="00AE73DA" w:rsidRDefault="0057331C" w:rsidP="0057331C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E73DA">
                          <w:rPr>
                            <w:rFonts w:ascii="Times New Roman" w:hAnsi="Times New Roman" w:cs="Times New Roman"/>
                            <w:bCs/>
                          </w:rPr>
                          <w:t xml:space="preserve">Контактное лицо: 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Балакин Олег Александрович</w:t>
                        </w:r>
                        <w:r w:rsidRPr="00AE73DA">
                          <w:rPr>
                            <w:rFonts w:ascii="Times New Roman" w:hAnsi="Times New Roman" w:cs="Times New Roman"/>
                            <w:bCs/>
                          </w:rPr>
                          <w:t>: 8(351) 232-13-02</w:t>
                        </w:r>
                      </w:p>
                      <w:p w:rsidR="008978D2" w:rsidRPr="008978D2" w:rsidRDefault="0057331C" w:rsidP="0057331C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E73DA">
                          <w:rPr>
                            <w:rFonts w:ascii="Times New Roman" w:hAnsi="Times New Roman" w:cs="Times New Roman"/>
                            <w:bCs/>
                          </w:rPr>
                          <w:t xml:space="preserve">Адрес электронной почты: </w:t>
                        </w:r>
                        <w:r w:rsidRPr="007F1176">
                          <w:rPr>
                            <w:rFonts w:ascii="Times New Roman" w:hAnsi="Times New Roman" w:cs="Times New Roman"/>
                          </w:rPr>
                          <w:t>O.Balakin@chelgaz.ru</w:t>
                        </w:r>
                      </w:p>
                    </w:sdtContent>
                  </w:sdt>
                  <w:p w:rsidR="008978D2" w:rsidRPr="008978D2" w:rsidRDefault="00F77490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6B4057" w:rsidRPr="008978D2" w:rsidRDefault="00F77490" w:rsidP="00EA29CE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57331C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57331C" w:rsidRPr="008978D2" w:rsidRDefault="0057331C" w:rsidP="0057331C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57331C" w:rsidRPr="008978D2" w:rsidRDefault="0057331C" w:rsidP="0057331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57331C" w:rsidRPr="00C85C30" w:rsidRDefault="0057331C" w:rsidP="005733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5C30">
              <w:rPr>
                <w:rFonts w:ascii="Times New Roman" w:hAnsi="Times New Roman" w:cs="Times New Roman"/>
                <w:bCs/>
              </w:rPr>
              <w:t>Перечень выполнимых работ;</w:t>
            </w:r>
          </w:p>
        </w:tc>
      </w:tr>
      <w:tr w:rsidR="0057331C" w:rsidRPr="008978D2" w:rsidTr="00C81BB0">
        <w:trPr>
          <w:trHeight w:val="223"/>
        </w:trPr>
        <w:tc>
          <w:tcPr>
            <w:tcW w:w="3787" w:type="dxa"/>
            <w:vMerge/>
          </w:tcPr>
          <w:p w:rsidR="0057331C" w:rsidRPr="008978D2" w:rsidRDefault="0057331C" w:rsidP="0057331C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57331C" w:rsidRPr="008978D2" w:rsidRDefault="0057331C" w:rsidP="0057331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57331C" w:rsidRPr="00C85C30" w:rsidRDefault="0057331C" w:rsidP="005733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5C30">
              <w:rPr>
                <w:rFonts w:ascii="Times New Roman" w:hAnsi="Times New Roman" w:cs="Times New Roman"/>
                <w:bCs/>
              </w:rPr>
              <w:t>Перечень используемого инвентаря и материалов.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90" w:rsidRDefault="00F77490" w:rsidP="003B4EA8">
      <w:pPr>
        <w:spacing w:after="0" w:line="240" w:lineRule="auto"/>
      </w:pPr>
      <w:r>
        <w:separator/>
      </w:r>
    </w:p>
  </w:endnote>
  <w:endnote w:type="continuationSeparator" w:id="0">
    <w:p w:rsidR="00F77490" w:rsidRDefault="00F7749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90" w:rsidRDefault="00F77490" w:rsidP="003B4EA8">
      <w:pPr>
        <w:spacing w:after="0" w:line="240" w:lineRule="auto"/>
      </w:pPr>
      <w:r>
        <w:separator/>
      </w:r>
    </w:p>
  </w:footnote>
  <w:footnote w:type="continuationSeparator" w:id="0">
    <w:p w:rsidR="00F77490" w:rsidRDefault="00F77490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B53"/>
    <w:multiLevelType w:val="hybridMultilevel"/>
    <w:tmpl w:val="36C0B48E"/>
    <w:lvl w:ilvl="0" w:tplc="E050EB22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160849"/>
    <w:rsid w:val="00191F40"/>
    <w:rsid w:val="001C0209"/>
    <w:rsid w:val="001C5F67"/>
    <w:rsid w:val="001F68E8"/>
    <w:rsid w:val="00212BB5"/>
    <w:rsid w:val="0022604D"/>
    <w:rsid w:val="00247FF6"/>
    <w:rsid w:val="003B139D"/>
    <w:rsid w:val="003B4D1F"/>
    <w:rsid w:val="003B4EA8"/>
    <w:rsid w:val="003C65E2"/>
    <w:rsid w:val="003D5B3E"/>
    <w:rsid w:val="003E62E5"/>
    <w:rsid w:val="00416D48"/>
    <w:rsid w:val="00462041"/>
    <w:rsid w:val="00464823"/>
    <w:rsid w:val="00481D66"/>
    <w:rsid w:val="00487CE7"/>
    <w:rsid w:val="0049691D"/>
    <w:rsid w:val="004C2893"/>
    <w:rsid w:val="004F7F00"/>
    <w:rsid w:val="00512487"/>
    <w:rsid w:val="00572F2C"/>
    <w:rsid w:val="0057331C"/>
    <w:rsid w:val="005A0E55"/>
    <w:rsid w:val="005B329E"/>
    <w:rsid w:val="0061329A"/>
    <w:rsid w:val="00641DA8"/>
    <w:rsid w:val="00671A77"/>
    <w:rsid w:val="006B4057"/>
    <w:rsid w:val="006C59B6"/>
    <w:rsid w:val="006D676C"/>
    <w:rsid w:val="00717502"/>
    <w:rsid w:val="00751F51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85BB5"/>
    <w:rsid w:val="008978D2"/>
    <w:rsid w:val="008A0418"/>
    <w:rsid w:val="008A74F8"/>
    <w:rsid w:val="008C1495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A7FA2"/>
    <w:rsid w:val="00BB5F39"/>
    <w:rsid w:val="00BD1E0A"/>
    <w:rsid w:val="00BF7743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54513"/>
    <w:rsid w:val="00D566D0"/>
    <w:rsid w:val="00D83071"/>
    <w:rsid w:val="00DA2E8A"/>
    <w:rsid w:val="00DB3504"/>
    <w:rsid w:val="00DE37D5"/>
    <w:rsid w:val="00DE6994"/>
    <w:rsid w:val="00E1232B"/>
    <w:rsid w:val="00E25A19"/>
    <w:rsid w:val="00EA29CE"/>
    <w:rsid w:val="00EB52BB"/>
    <w:rsid w:val="00EC0560"/>
    <w:rsid w:val="00EC4B0E"/>
    <w:rsid w:val="00EE6FD9"/>
    <w:rsid w:val="00F40A9E"/>
    <w:rsid w:val="00F603F2"/>
    <w:rsid w:val="00F75A10"/>
    <w:rsid w:val="00F7749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0FD8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No Spacing"/>
    <w:uiPriority w:val="1"/>
    <w:qFormat/>
    <w:rsid w:val="00751F5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aliases w:val="Обычный (Web)"/>
    <w:basedOn w:val="a"/>
    <w:qFormat/>
    <w:rsid w:val="0075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1A29DAF306041F1949BC5A636780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DD21B-C932-4A6F-BAD2-FE7097DCA803}"/>
      </w:docPartPr>
      <w:docPartBody>
        <w:p w:rsidR="00F02E27" w:rsidRDefault="00705EBB" w:rsidP="00705EBB">
          <w:pPr>
            <w:pStyle w:val="41A29DAF306041F1949BC5A636780E9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F9D78AFF5C24488196305E7FF4A48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C1C5F-3351-4389-84F3-F021FDB48EEF}"/>
      </w:docPartPr>
      <w:docPartBody>
        <w:p w:rsidR="00126645" w:rsidRDefault="00292302" w:rsidP="00292302">
          <w:pPr>
            <w:pStyle w:val="F9D78AFF5C24488196305E7FF4A48CD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F43B07F20418471794CF8282BA6FC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D137E-C865-45EA-8833-67C441C2B99C}"/>
      </w:docPartPr>
      <w:docPartBody>
        <w:p w:rsidR="00126645" w:rsidRDefault="00292302" w:rsidP="00292302">
          <w:pPr>
            <w:pStyle w:val="F43B07F20418471794CF8282BA6FCCEE"/>
          </w:pPr>
          <w:r w:rsidRPr="008D0F97"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85134AFBC0A44F66ABDBDE690935E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A1D0A-7A42-4AF1-842C-983F9AB187D0}"/>
      </w:docPartPr>
      <w:docPartBody>
        <w:p w:rsidR="00126645" w:rsidRDefault="00292302" w:rsidP="00292302">
          <w:pPr>
            <w:pStyle w:val="85134AFBC0A44F66ABDBDE690935E6F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36658"/>
    <w:rsid w:val="000A7ED8"/>
    <w:rsid w:val="00121CAB"/>
    <w:rsid w:val="00126645"/>
    <w:rsid w:val="0017579C"/>
    <w:rsid w:val="00206DB4"/>
    <w:rsid w:val="002558E3"/>
    <w:rsid w:val="00271FA3"/>
    <w:rsid w:val="00292302"/>
    <w:rsid w:val="002B50A6"/>
    <w:rsid w:val="002C3883"/>
    <w:rsid w:val="00510651"/>
    <w:rsid w:val="00705EBB"/>
    <w:rsid w:val="00712391"/>
    <w:rsid w:val="007B0F65"/>
    <w:rsid w:val="008338EA"/>
    <w:rsid w:val="00844107"/>
    <w:rsid w:val="00A23384"/>
    <w:rsid w:val="00C74BA5"/>
    <w:rsid w:val="00C872D8"/>
    <w:rsid w:val="00DA3C3B"/>
    <w:rsid w:val="00E57E7F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02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F9D78AFF5C24488196305E7FF4A48CD4">
    <w:name w:val="F9D78AFF5C24488196305E7FF4A48CD4"/>
    <w:rsid w:val="00292302"/>
  </w:style>
  <w:style w:type="paragraph" w:customStyle="1" w:styleId="0DA37EAD933C4389BB690EAD6A0EB55B">
    <w:name w:val="0DA37EAD933C4389BB690EAD6A0EB55B"/>
    <w:rsid w:val="00292302"/>
  </w:style>
  <w:style w:type="paragraph" w:customStyle="1" w:styleId="F43B07F20418471794CF8282BA6FCCEE">
    <w:name w:val="F43B07F20418471794CF8282BA6FCCEE"/>
    <w:rsid w:val="00292302"/>
  </w:style>
  <w:style w:type="paragraph" w:customStyle="1" w:styleId="85134AFBC0A44F66ABDBDE690935E6FE">
    <w:name w:val="85134AFBC0A44F66ABDBDE690935E6FE"/>
    <w:rsid w:val="00292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26</cp:revision>
  <cp:lastPrinted>2020-10-02T04:03:00Z</cp:lastPrinted>
  <dcterms:created xsi:type="dcterms:W3CDTF">2020-10-27T06:31:00Z</dcterms:created>
  <dcterms:modified xsi:type="dcterms:W3CDTF">2021-11-26T09:54:00Z</dcterms:modified>
</cp:coreProperties>
</file>