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09F60DE5" w14:textId="106E7D9D" w:rsidR="00963BBC" w:rsidRPr="004E0950" w:rsidRDefault="004E0950" w:rsidP="001D777E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="00040ED1">
        <w:rPr>
          <w:b/>
        </w:rPr>
        <w:t xml:space="preserve">ОКАЗАНИЕ УСЛУГ </w:t>
      </w:r>
      <w:r w:rsidR="001D777E" w:rsidRPr="001D777E">
        <w:rPr>
          <w:sz w:val="32"/>
          <w:szCs w:val="24"/>
        </w:rPr>
        <w:t>по продлению технической поддержки программного обеспечения виртуализации, которая осуществляется путем передачи оформленного документального права на техническую поддержку</w:t>
      </w:r>
      <w:r w:rsidR="001D777E">
        <w:rPr>
          <w:sz w:val="24"/>
          <w:szCs w:val="24"/>
        </w:rPr>
        <w:t>.</w:t>
      </w: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180A491B" w:rsidR="001718B4" w:rsidRPr="00CA276B" w:rsidRDefault="000E493C" w:rsidP="00573D1A">
      <w:pPr>
        <w:pStyle w:val="a8"/>
        <w:ind w:firstLine="0"/>
        <w:jc w:val="center"/>
        <w:rPr>
          <w:b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CA276B">
        <w:rPr>
          <w:b/>
          <w:sz w:val="20"/>
          <w:lang w:val="ru-RU"/>
        </w:rPr>
        <w:t>1318</w:t>
      </w:r>
      <w:bookmarkStart w:id="0" w:name="_GoBack"/>
      <w:bookmarkEnd w:id="0"/>
    </w:p>
    <w:p w14:paraId="3AEB9F7B" w14:textId="77777777" w:rsidR="00FA3063" w:rsidRPr="00A06C43" w:rsidRDefault="00FA3063" w:rsidP="00B319CD">
      <w:pPr>
        <w:pStyle w:val="a8"/>
        <w:ind w:firstLine="0"/>
        <w:jc w:val="center"/>
        <w:rPr>
          <w:b/>
          <w:bCs/>
          <w:sz w:val="20"/>
        </w:rPr>
      </w:pP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5EA05F91" w14:textId="77777777" w:rsidR="001D2FC9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40348066" w:history="1">
        <w:r w:rsidR="001D2FC9" w:rsidRPr="00842090">
          <w:rPr>
            <w:rStyle w:val="af1"/>
          </w:rPr>
          <w:t>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ОБЩИЕ ПОЛОЖЕНИЯ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497F26A6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7" w:history="1">
        <w:r w:rsidR="001D2FC9" w:rsidRPr="00842090">
          <w:rPr>
            <w:rStyle w:val="af1"/>
          </w:rPr>
          <w:t>1.1.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Общие сведения о конкурентном отборе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2DFA9A81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8" w:history="1">
        <w:r w:rsidR="001D2FC9" w:rsidRPr="00842090">
          <w:rPr>
            <w:rStyle w:val="af1"/>
          </w:rPr>
          <w:t>1.2.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Термины и определения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3</w:t>
        </w:r>
        <w:r w:rsidR="001D2FC9">
          <w:rPr>
            <w:webHidden/>
          </w:rPr>
          <w:fldChar w:fldCharType="end"/>
        </w:r>
      </w:hyperlink>
    </w:p>
    <w:p w14:paraId="0206056F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69" w:history="1">
        <w:r w:rsidR="001D2FC9" w:rsidRPr="00842090">
          <w:rPr>
            <w:rStyle w:val="af1"/>
          </w:rPr>
          <w:t>1.3.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Предмет конкурентного отбора (лота) и требования к нему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_Toc40348069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4</w:t>
        </w:r>
        <w:r w:rsidR="001D2FC9">
          <w:rPr>
            <w:webHidden/>
          </w:rPr>
          <w:fldChar w:fldCharType="end"/>
        </w:r>
      </w:hyperlink>
    </w:p>
    <w:p w14:paraId="3C0B1A23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0" w:history="1">
        <w:r w:rsidR="001D2FC9" w:rsidRPr="00842090">
          <w:rPr>
            <w:rStyle w:val="af1"/>
          </w:rPr>
          <w:t>1.4.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Участникам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4</w:t>
        </w:r>
        <w:r w:rsidR="001D2FC9">
          <w:rPr>
            <w:webHidden/>
          </w:rPr>
          <w:fldChar w:fldCharType="end"/>
        </w:r>
      </w:hyperlink>
    </w:p>
    <w:p w14:paraId="10F68E02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1" w:history="1">
        <w:r w:rsidR="001D2FC9" w:rsidRPr="00842090">
          <w:rPr>
            <w:rStyle w:val="af1"/>
          </w:rPr>
          <w:t>1.5.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содержанию, форме, оформлению, составу, сроку действия Заявки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5</w:t>
        </w:r>
        <w:r w:rsidR="001D2FC9">
          <w:rPr>
            <w:webHidden/>
          </w:rPr>
          <w:fldChar w:fldCharType="end"/>
        </w:r>
      </w:hyperlink>
    </w:p>
    <w:p w14:paraId="5DB28C4F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2" w:history="1">
        <w:r w:rsidR="001D2FC9" w:rsidRPr="00842090">
          <w:rPr>
            <w:rStyle w:val="af1"/>
          </w:rPr>
          <w:t>1.6.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Случаи завершения процедуры конкурентного отбора Заказчиком (Организатором)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6</w:t>
        </w:r>
        <w:r w:rsidR="001D2FC9">
          <w:rPr>
            <w:webHidden/>
          </w:rPr>
          <w:fldChar w:fldCharType="end"/>
        </w:r>
      </w:hyperlink>
    </w:p>
    <w:p w14:paraId="25BDABA3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3" w:history="1">
        <w:r w:rsidR="001D2FC9" w:rsidRPr="00842090">
          <w:rPr>
            <w:rStyle w:val="af1"/>
          </w:rPr>
          <w:t>1.7.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Прочие положения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7</w:t>
        </w:r>
        <w:r w:rsidR="001D2FC9">
          <w:rPr>
            <w:webHidden/>
          </w:rPr>
          <w:fldChar w:fldCharType="end"/>
        </w:r>
      </w:hyperlink>
    </w:p>
    <w:p w14:paraId="786E4622" w14:textId="77777777" w:rsidR="001D2FC9" w:rsidRDefault="002846DF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74" w:history="1">
        <w:r w:rsidR="001D2FC9" w:rsidRPr="00842090">
          <w:rPr>
            <w:rStyle w:val="af1"/>
          </w:rPr>
          <w:t>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ПРОЦЕДУРЫ (СТАДИИ)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39856FDA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5" w:history="1">
        <w:r w:rsidR="001D2FC9" w:rsidRPr="00842090">
          <w:rPr>
            <w:rStyle w:val="af1"/>
          </w:rPr>
          <w:t>2.1.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Объявление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4F20CE71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6" w:history="1">
        <w:r w:rsidR="001D2FC9" w:rsidRPr="00842090">
          <w:rPr>
            <w:rStyle w:val="af1"/>
          </w:rPr>
          <w:t>2.2.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Разъяснение положений Документации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389CB37F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7" w:history="1">
        <w:r w:rsidR="001D2FC9" w:rsidRPr="00842090">
          <w:rPr>
            <w:rStyle w:val="af1"/>
          </w:rPr>
          <w:t>2.3.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Подача Заявок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8</w:t>
        </w:r>
        <w:r w:rsidR="001D2FC9">
          <w:rPr>
            <w:webHidden/>
          </w:rPr>
          <w:fldChar w:fldCharType="end"/>
        </w:r>
      </w:hyperlink>
    </w:p>
    <w:p w14:paraId="6E9EDEEF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8" w:history="1">
        <w:r w:rsidR="001D2FC9" w:rsidRPr="00842090">
          <w:rPr>
            <w:rStyle w:val="af1"/>
          </w:rPr>
          <w:t>2.4.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  <w:kern w:val="28"/>
          </w:rPr>
          <w:t>Открытие доступа к</w:t>
        </w:r>
        <w:r w:rsidR="001D2FC9" w:rsidRPr="00842090">
          <w:rPr>
            <w:rStyle w:val="af1"/>
          </w:rPr>
          <w:t xml:space="preserve"> Заявкам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9</w:t>
        </w:r>
        <w:r w:rsidR="001D2FC9">
          <w:rPr>
            <w:webHidden/>
          </w:rPr>
          <w:fldChar w:fldCharType="end"/>
        </w:r>
      </w:hyperlink>
    </w:p>
    <w:p w14:paraId="5FDB61D2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79" w:history="1">
        <w:r w:rsidR="001D2FC9" w:rsidRPr="00842090">
          <w:rPr>
            <w:rStyle w:val="af1"/>
          </w:rPr>
          <w:t>2.5.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Формирование итогового протокола и подведение итогов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_Toc40348079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9</w:t>
        </w:r>
        <w:r w:rsidR="001D2FC9">
          <w:rPr>
            <w:webHidden/>
          </w:rPr>
          <w:fldChar w:fldCharType="end"/>
        </w:r>
      </w:hyperlink>
    </w:p>
    <w:p w14:paraId="7E449DD0" w14:textId="77777777" w:rsidR="001D2FC9" w:rsidRDefault="002846DF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80" w:history="1">
        <w:r w:rsidR="001D2FC9" w:rsidRPr="00842090">
          <w:rPr>
            <w:rStyle w:val="af1"/>
          </w:rPr>
          <w:t>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29671D50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1" w:history="1">
        <w:r w:rsidR="001D2FC9" w:rsidRPr="00842090">
          <w:rPr>
            <w:rStyle w:val="af1"/>
          </w:rPr>
          <w:t>3.1.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Уведомление Участников о результатах конкурентного отбора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73DC5D80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2" w:history="1">
        <w:r w:rsidR="001D2FC9" w:rsidRPr="00842090">
          <w:rPr>
            <w:rStyle w:val="af1"/>
          </w:rPr>
          <w:t>3.2.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Заключение договора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11</w:t>
        </w:r>
        <w:r w:rsidR="001D2FC9">
          <w:rPr>
            <w:webHidden/>
          </w:rPr>
          <w:fldChar w:fldCharType="end"/>
        </w:r>
      </w:hyperlink>
    </w:p>
    <w:p w14:paraId="67FBF6BA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3" w:history="1">
        <w:r w:rsidR="001D2FC9" w:rsidRPr="00842090">
          <w:rPr>
            <w:rStyle w:val="af1"/>
          </w:rPr>
          <w:t>3.3.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Обеспечение исполнения договора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12</w:t>
        </w:r>
        <w:r w:rsidR="001D2FC9">
          <w:rPr>
            <w:webHidden/>
          </w:rPr>
          <w:fldChar w:fldCharType="end"/>
        </w:r>
      </w:hyperlink>
    </w:p>
    <w:p w14:paraId="483527E5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4" w:history="1">
        <w:r w:rsidR="001D2FC9" w:rsidRPr="00842090">
          <w:rPr>
            <w:rStyle w:val="af1"/>
            <w:lang w:val="x-none" w:eastAsia="x-none"/>
          </w:rPr>
          <w:t>3.4.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12</w:t>
        </w:r>
        <w:r w:rsidR="001D2FC9">
          <w:rPr>
            <w:webHidden/>
          </w:rPr>
          <w:fldChar w:fldCharType="end"/>
        </w:r>
      </w:hyperlink>
    </w:p>
    <w:p w14:paraId="3A484C5E" w14:textId="77777777" w:rsidR="001D2FC9" w:rsidRDefault="002846DF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85" w:history="1">
        <w:r w:rsidR="001D2FC9" w:rsidRPr="00842090">
          <w:rPr>
            <w:rStyle w:val="af1"/>
          </w:rPr>
          <w:t>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ИНСТРУКЦИЯ ПО ПОДГОТОВКЕ ЗАЯВОК (СОСТАВ И СОДЕРЖАНИЕ ЗАЯВКИ)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02A67344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6" w:history="1">
        <w:r w:rsidR="001D2FC9" w:rsidRPr="00842090">
          <w:rPr>
            <w:rStyle w:val="af1"/>
          </w:rPr>
          <w:t>4.1.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Письмо о подаче Заявки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46A0A542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7" w:history="1">
        <w:r w:rsidR="001D2FC9" w:rsidRPr="00842090">
          <w:rPr>
            <w:rStyle w:val="af1"/>
          </w:rPr>
          <w:t>4.2.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1BF0BF9B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8" w:history="1">
        <w:r w:rsidR="001D2FC9" w:rsidRPr="00842090">
          <w:rPr>
            <w:rStyle w:val="af1"/>
          </w:rPr>
          <w:t>4.3.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Документы, подтверждающие соответствие требованиям к Участнику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_Toc40348088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13</w:t>
        </w:r>
        <w:r w:rsidR="001D2FC9">
          <w:rPr>
            <w:webHidden/>
          </w:rPr>
          <w:fldChar w:fldCharType="end"/>
        </w:r>
      </w:hyperlink>
    </w:p>
    <w:p w14:paraId="7DF353A1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89" w:history="1">
        <w:r w:rsidR="001D2FC9" w:rsidRPr="00842090">
          <w:rPr>
            <w:rStyle w:val="af1"/>
          </w:rPr>
          <w:t>4.4.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Формы и другие документы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_Toc40348089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14</w:t>
        </w:r>
        <w:r w:rsidR="001D2FC9">
          <w:rPr>
            <w:webHidden/>
          </w:rPr>
          <w:fldChar w:fldCharType="end"/>
        </w:r>
      </w:hyperlink>
    </w:p>
    <w:p w14:paraId="7ADC3BC6" w14:textId="77777777" w:rsidR="001D2FC9" w:rsidRDefault="002846DF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0348090" w:history="1">
        <w:r w:rsidR="001D2FC9" w:rsidRPr="00842090">
          <w:rPr>
            <w:rStyle w:val="af1"/>
          </w:rPr>
          <w:t>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1D2FC9" w:rsidRPr="00842090">
          <w:rPr>
            <w:rStyle w:val="af1"/>
          </w:rPr>
          <w:t>ОБРАЗЦЫ ФОРМ ДОКУМЕНТОВ, ВКЛЮЧАЕМЫХ В ЗАЯВКУ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_Toc40348090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16</w:t>
        </w:r>
        <w:r w:rsidR="001D2FC9">
          <w:rPr>
            <w:webHidden/>
          </w:rPr>
          <w:fldChar w:fldCharType="end"/>
        </w:r>
      </w:hyperlink>
    </w:p>
    <w:p w14:paraId="6DEE1788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1" w:history="1">
        <w:r w:rsidR="001D2FC9" w:rsidRPr="00842090">
          <w:rPr>
            <w:rStyle w:val="af1"/>
          </w:rPr>
          <w:t>5.1.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Письмо о подаче Заявки (Форма 1)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_Toc40348091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16</w:t>
        </w:r>
        <w:r w:rsidR="001D2FC9">
          <w:rPr>
            <w:webHidden/>
          </w:rPr>
          <w:fldChar w:fldCharType="end"/>
        </w:r>
      </w:hyperlink>
    </w:p>
    <w:p w14:paraId="6209BF4E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2" w:history="1">
        <w:r w:rsidR="001D2FC9" w:rsidRPr="00842090">
          <w:rPr>
            <w:rStyle w:val="af1"/>
          </w:rPr>
          <w:t>5.2.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Анкета Участника (Форма 2)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_Toc40348092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18</w:t>
        </w:r>
        <w:r w:rsidR="001D2FC9">
          <w:rPr>
            <w:webHidden/>
          </w:rPr>
          <w:fldChar w:fldCharType="end"/>
        </w:r>
      </w:hyperlink>
    </w:p>
    <w:p w14:paraId="2AFCF9C4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3" w:history="1">
        <w:r w:rsidR="001D2FC9" w:rsidRPr="00842090">
          <w:rPr>
            <w:rStyle w:val="af1"/>
          </w:rPr>
          <w:t>5.3.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Справка об опыте оказания услуг, подобных* предмету закупки (Форма 3)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_Toc40348093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21</w:t>
        </w:r>
        <w:r w:rsidR="001D2FC9">
          <w:rPr>
            <w:webHidden/>
          </w:rPr>
          <w:fldChar w:fldCharType="end"/>
        </w:r>
      </w:hyperlink>
    </w:p>
    <w:p w14:paraId="4606934B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4" w:history="1">
        <w:r w:rsidR="001D2FC9" w:rsidRPr="00842090">
          <w:rPr>
            <w:rStyle w:val="af1"/>
          </w:rPr>
          <w:t>5.4.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Справка о соответствии Участника требованиям (Форма 4)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_Toc40348094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22</w:t>
        </w:r>
        <w:r w:rsidR="001D2FC9">
          <w:rPr>
            <w:webHidden/>
          </w:rPr>
          <w:fldChar w:fldCharType="end"/>
        </w:r>
      </w:hyperlink>
    </w:p>
    <w:p w14:paraId="054D7BD7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5" w:history="1">
        <w:r w:rsidR="001D2FC9" w:rsidRPr="00842090">
          <w:rPr>
            <w:rStyle w:val="af1"/>
          </w:rPr>
          <w:t>5.5.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_Toc40348095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23</w:t>
        </w:r>
        <w:r w:rsidR="001D2FC9">
          <w:rPr>
            <w:webHidden/>
          </w:rPr>
          <w:fldChar w:fldCharType="end"/>
        </w:r>
      </w:hyperlink>
    </w:p>
    <w:p w14:paraId="0894A78C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6" w:history="1">
        <w:r w:rsidR="001D2FC9" w:rsidRPr="00842090">
          <w:rPr>
            <w:rStyle w:val="af1"/>
          </w:rPr>
          <w:t>5.6.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Опись документов, содержащихся в Заявке (Форма 7)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_Toc40348096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25</w:t>
        </w:r>
        <w:r w:rsidR="001D2FC9">
          <w:rPr>
            <w:webHidden/>
          </w:rPr>
          <w:fldChar w:fldCharType="end"/>
        </w:r>
      </w:hyperlink>
    </w:p>
    <w:p w14:paraId="49EC616D" w14:textId="77777777" w:rsidR="001D2FC9" w:rsidRDefault="002846DF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40348097" w:history="1">
        <w:r w:rsidR="001D2FC9" w:rsidRPr="00842090">
          <w:rPr>
            <w:rStyle w:val="af1"/>
          </w:rPr>
          <w:t>5.7.</w:t>
        </w:r>
        <w:r w:rsidR="001D2FC9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1D2FC9" w:rsidRPr="00842090">
          <w:rPr>
            <w:rStyle w:val="af1"/>
          </w:rPr>
          <w:t>Приложения к Документации</w:t>
        </w:r>
        <w:r w:rsidR="001D2FC9">
          <w:rPr>
            <w:webHidden/>
          </w:rPr>
          <w:tab/>
        </w:r>
        <w:r w:rsidR="001D2FC9">
          <w:rPr>
            <w:webHidden/>
          </w:rPr>
          <w:fldChar w:fldCharType="begin"/>
        </w:r>
        <w:r w:rsidR="001D2FC9">
          <w:rPr>
            <w:webHidden/>
          </w:rPr>
          <w:instrText xml:space="preserve"> PAGEREF _Toc40348097 \h </w:instrText>
        </w:r>
        <w:r w:rsidR="001D2FC9">
          <w:rPr>
            <w:webHidden/>
          </w:rPr>
        </w:r>
        <w:r w:rsidR="001D2FC9">
          <w:rPr>
            <w:webHidden/>
          </w:rPr>
          <w:fldChar w:fldCharType="separate"/>
        </w:r>
        <w:r w:rsidR="001D2FC9">
          <w:rPr>
            <w:webHidden/>
          </w:rPr>
          <w:t>26</w:t>
        </w:r>
        <w:r w:rsidR="001D2FC9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40348066"/>
      <w:r w:rsidRPr="00A06C43">
        <w:rPr>
          <w:sz w:val="20"/>
        </w:rPr>
        <w:lastRenderedPageBreak/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40348067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proofErr w:type="spellStart"/>
      <w:r w:rsidR="00344B4F" w:rsidRPr="00344B4F">
        <w:rPr>
          <w:sz w:val="20"/>
        </w:rPr>
        <w:t>etp</w:t>
      </w:r>
      <w:proofErr w:type="spellEnd"/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40348068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</w:t>
      </w:r>
      <w:r w:rsidR="005907E5" w:rsidRPr="00A06C43">
        <w:rPr>
          <w:sz w:val="20"/>
        </w:rPr>
        <w:lastRenderedPageBreak/>
        <w:t>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40348069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7326B661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>Описание предмета конкурентного отбора (лота), требования к безопасности, качеству, техническим характеристикам, функциональным характеристикам (п</w:t>
      </w:r>
      <w:r w:rsidR="00F76FE8">
        <w:rPr>
          <w:sz w:val="20"/>
        </w:rPr>
        <w:t>отребительским свойствам) услуги</w:t>
      </w:r>
      <w:r w:rsidRPr="00A06C43">
        <w:rPr>
          <w:sz w:val="20"/>
        </w:rPr>
        <w:t xml:space="preserve">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>к описанию</w:t>
      </w:r>
      <w:r w:rsidR="00F76FE8">
        <w:rPr>
          <w:sz w:val="20"/>
        </w:rPr>
        <w:t xml:space="preserve"> Участником услуги, которая</w:t>
      </w:r>
      <w:r w:rsidRPr="00A06C43">
        <w:rPr>
          <w:sz w:val="20"/>
        </w:rPr>
        <w:t xml:space="preserve">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="00F76FE8">
        <w:rPr>
          <w:sz w:val="20"/>
        </w:rPr>
        <w:t xml:space="preserve"> ее</w:t>
      </w:r>
      <w:r w:rsidRPr="00A06C43">
        <w:rPr>
          <w:sz w:val="20"/>
        </w:rPr>
        <w:t xml:space="preserve"> функциональных характеристи</w:t>
      </w:r>
      <w:r w:rsidR="00F76FE8">
        <w:rPr>
          <w:sz w:val="20"/>
        </w:rPr>
        <w:t>к (потребительских свойств), ее</w:t>
      </w:r>
      <w:r w:rsidRPr="00A06C43">
        <w:rPr>
          <w:sz w:val="20"/>
        </w:rPr>
        <w:t xml:space="preserve">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40348070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25EE4FEE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</w:t>
      </w:r>
      <w:r w:rsidR="003F62BA">
        <w:rPr>
          <w:color w:val="auto"/>
          <w:sz w:val="20"/>
        </w:rPr>
        <w:t xml:space="preserve"> осуществляющим оказание услуг</w:t>
      </w:r>
      <w:r w:rsidRPr="00A06C43">
        <w:rPr>
          <w:color w:val="auto"/>
          <w:sz w:val="20"/>
        </w:rPr>
        <w:t>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 xml:space="preserve">, включая </w:t>
      </w:r>
      <w:proofErr w:type="spellStart"/>
      <w:r w:rsidRPr="00A06C43">
        <w:rPr>
          <w:color w:val="auto"/>
          <w:sz w:val="20"/>
        </w:rPr>
        <w:t>неприостановление</w:t>
      </w:r>
      <w:proofErr w:type="spellEnd"/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</w:t>
      </w:r>
      <w:r w:rsidRPr="00A06C43">
        <w:rPr>
          <w:color w:val="auto"/>
          <w:sz w:val="20"/>
        </w:rPr>
        <w:lastRenderedPageBreak/>
        <w:t xml:space="preserve">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3C58B7D8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</w:t>
      </w:r>
      <w:r w:rsidR="003F62BA">
        <w:rPr>
          <w:color w:val="auto"/>
          <w:sz w:val="20"/>
        </w:rPr>
        <w:t xml:space="preserve"> (работ, услуг)</w:t>
      </w:r>
      <w:r w:rsidRPr="00A06C43">
        <w:rPr>
          <w:color w:val="auto"/>
          <w:sz w:val="20"/>
        </w:rPr>
        <w:t>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777C673F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</w:t>
      </w:r>
      <w:r w:rsidR="003F62BA">
        <w:rPr>
          <w:color w:val="auto"/>
          <w:sz w:val="20"/>
        </w:rPr>
        <w:t xml:space="preserve"> (работ, услуг)</w:t>
      </w:r>
      <w:r w:rsidRPr="0015383E">
        <w:rPr>
          <w:color w:val="auto"/>
          <w:sz w:val="20"/>
        </w:rPr>
        <w:t>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5CF72A41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</w:t>
      </w:r>
      <w:r w:rsidR="003F62BA">
        <w:rPr>
          <w:color w:val="auto"/>
          <w:sz w:val="20"/>
        </w:rPr>
        <w:t xml:space="preserve"> (работ, услуг)</w:t>
      </w:r>
      <w:r w:rsidR="00220A76" w:rsidRPr="0015383E">
        <w:rPr>
          <w:color w:val="auto"/>
          <w:sz w:val="20"/>
        </w:rPr>
        <w:t xml:space="preserve"> подобных предмету закупки за последние три года, предшествующих дате окончания срока подачи Заявок. Под подобными товарами</w:t>
      </w:r>
      <w:r w:rsidR="003F62BA">
        <w:rPr>
          <w:color w:val="auto"/>
          <w:sz w:val="20"/>
        </w:rPr>
        <w:t xml:space="preserve"> (работами, услугами)</w:t>
      </w:r>
      <w:r w:rsidR="00220A76" w:rsidRPr="0015383E">
        <w:rPr>
          <w:color w:val="auto"/>
          <w:sz w:val="20"/>
        </w:rPr>
        <w:t xml:space="preserve"> подразумеваются товары</w:t>
      </w:r>
      <w:r w:rsidR="003F62BA">
        <w:rPr>
          <w:color w:val="auto"/>
          <w:sz w:val="20"/>
        </w:rPr>
        <w:t xml:space="preserve"> (работы, услуги)</w:t>
      </w:r>
      <w:r w:rsidR="00220A76" w:rsidRPr="0015383E">
        <w:rPr>
          <w:color w:val="auto"/>
          <w:sz w:val="20"/>
        </w:rPr>
        <w:t>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40348071"/>
      <w:bookmarkStart w:id="59" w:name="_Toc529954327"/>
      <w:r w:rsidRPr="00A06C43">
        <w:rPr>
          <w:b/>
          <w:sz w:val="20"/>
          <w:szCs w:val="20"/>
        </w:rPr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proofErr w:type="spellStart"/>
      <w:r w:rsidRPr="00A06C43">
        <w:rPr>
          <w:b/>
          <w:sz w:val="20"/>
          <w:szCs w:val="20"/>
        </w:rPr>
        <w:t>аявки</w:t>
      </w:r>
      <w:bookmarkEnd w:id="58"/>
      <w:proofErr w:type="spellEnd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lastRenderedPageBreak/>
        <w:t xml:space="preserve"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</w:t>
      </w:r>
      <w:proofErr w:type="spellStart"/>
      <w:r w:rsidRPr="00A06C43">
        <w:rPr>
          <w:color w:val="auto"/>
          <w:sz w:val="20"/>
        </w:rPr>
        <w:t>Adobe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Acrobat</w:t>
      </w:r>
      <w:proofErr w:type="spellEnd"/>
      <w:r w:rsidRPr="00A06C43">
        <w:rPr>
          <w:color w:val="auto"/>
          <w:sz w:val="20"/>
        </w:rPr>
        <w:t xml:space="preserve"> </w:t>
      </w:r>
      <w:proofErr w:type="spellStart"/>
      <w:r w:rsidRPr="00A06C43">
        <w:rPr>
          <w:color w:val="auto"/>
          <w:sz w:val="20"/>
        </w:rPr>
        <w:t>Pro</w:t>
      </w:r>
      <w:proofErr w:type="spellEnd"/>
      <w:r w:rsidRPr="00A06C43">
        <w:rPr>
          <w:color w:val="auto"/>
          <w:sz w:val="20"/>
        </w:rPr>
        <w:t xml:space="preserve">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40348072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0B65F41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</w:t>
      </w:r>
      <w:r w:rsidR="003F62BA">
        <w:rPr>
          <w:color w:val="auto"/>
          <w:sz w:val="20"/>
        </w:rPr>
        <w:t xml:space="preserve"> (работы, услуги)</w:t>
      </w:r>
      <w:r w:rsidRPr="00A06C43">
        <w:rPr>
          <w:color w:val="auto"/>
          <w:sz w:val="20"/>
        </w:rPr>
        <w:t>.</w:t>
      </w:r>
    </w:p>
    <w:p w14:paraId="714E75B3" w14:textId="2E5A0430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частника, а также предлагаемых им товаров</w:t>
      </w:r>
      <w:r w:rsidR="002D3A24">
        <w:rPr>
          <w:color w:val="auto"/>
          <w:sz w:val="20"/>
        </w:rPr>
        <w:t xml:space="preserve"> (работ, услуг)</w:t>
      </w:r>
      <w:r w:rsidRPr="00A06C43">
        <w:rPr>
          <w:color w:val="auto"/>
          <w:sz w:val="20"/>
        </w:rPr>
        <w:t xml:space="preserve">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40348073"/>
      <w:r w:rsidRPr="00A06C43">
        <w:rPr>
          <w:b/>
          <w:sz w:val="20"/>
          <w:szCs w:val="20"/>
        </w:rPr>
        <w:lastRenderedPageBreak/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4314804A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 установленным Документацией требованиям к Участникам, несоответствия поставляемого товара</w:t>
      </w:r>
      <w:r w:rsidR="002D3A24">
        <w:rPr>
          <w:sz w:val="20"/>
        </w:rPr>
        <w:t xml:space="preserve"> (работ, услуг)</w:t>
      </w:r>
      <w:r w:rsidRPr="00A06C43">
        <w:rPr>
          <w:sz w:val="20"/>
        </w:rPr>
        <w:t xml:space="preserve"> требованиям, установленным Документацией к товарам</w:t>
      </w:r>
      <w:r w:rsidR="00A90102">
        <w:rPr>
          <w:sz w:val="20"/>
        </w:rPr>
        <w:t xml:space="preserve"> (работам, услугам)</w:t>
      </w:r>
      <w:r w:rsidRPr="00A06C43">
        <w:rPr>
          <w:sz w:val="20"/>
        </w:rPr>
        <w:t xml:space="preserve">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4D7AE1BC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</w:t>
      </w:r>
      <w:r w:rsidR="00A901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A90102">
        <w:rPr>
          <w:sz w:val="20"/>
        </w:rPr>
        <w:t>(работ, услуг)</w:t>
      </w: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7AA05C77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</w:t>
      </w:r>
      <w:r w:rsidR="00A90102">
        <w:rPr>
          <w:sz w:val="20"/>
        </w:rPr>
        <w:t xml:space="preserve"> (работ, услуг)</w:t>
      </w:r>
      <w:r w:rsidR="00C7069F" w:rsidRPr="00A06C43">
        <w:rPr>
          <w:sz w:val="20"/>
        </w:rPr>
        <w:t>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55E3322D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>) поставки товара</w:t>
      </w:r>
      <w:r w:rsidR="00A90102">
        <w:rPr>
          <w:sz w:val="20"/>
        </w:rPr>
        <w:t xml:space="preserve"> (работ, услуг)</w:t>
      </w:r>
      <w:r w:rsidR="00287F8B" w:rsidRPr="00A06C43">
        <w:rPr>
          <w:sz w:val="20"/>
        </w:rPr>
        <w:t xml:space="preserve">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40348074"/>
      <w:r w:rsidRPr="00A06C43">
        <w:rPr>
          <w:sz w:val="20"/>
        </w:rPr>
        <w:lastRenderedPageBreak/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40348075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40348076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"/>
        <w:gridCol w:w="8821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40348077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lastRenderedPageBreak/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40348078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40348079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122A4C4B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</w:t>
      </w:r>
      <w:r w:rsidR="00A90102">
        <w:rPr>
          <w:sz w:val="20"/>
        </w:rPr>
        <w:t xml:space="preserve"> (работах, услугах)</w:t>
      </w:r>
      <w:r w:rsidRPr="00A06C43">
        <w:rPr>
          <w:sz w:val="20"/>
        </w:rPr>
        <w:t xml:space="preserve">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4E81072A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40348080"/>
      <w:r w:rsidRPr="00A06C43">
        <w:rPr>
          <w:sz w:val="20"/>
        </w:rPr>
        <w:lastRenderedPageBreak/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40348081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proofErr w:type="spellStart"/>
      <w:r w:rsidR="00F66D8C" w:rsidRPr="00344B4F">
        <w:rPr>
          <w:sz w:val="20"/>
        </w:rPr>
        <w:t>etp</w:t>
      </w:r>
      <w:proofErr w:type="spellEnd"/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40348082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2D547B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2D547B">
        <w:rPr>
          <w:sz w:val="20"/>
        </w:rPr>
        <w:t>Победитель</w:t>
      </w:r>
      <w:r w:rsidR="008C236A" w:rsidRPr="002D547B">
        <w:rPr>
          <w:sz w:val="20"/>
        </w:rPr>
        <w:t xml:space="preserve"> в течение </w:t>
      </w:r>
      <w:r w:rsidR="00D0628D" w:rsidRPr="002D547B">
        <w:rPr>
          <w:sz w:val="20"/>
        </w:rPr>
        <w:t>5</w:t>
      </w:r>
      <w:r w:rsidR="008C236A" w:rsidRPr="002D547B">
        <w:rPr>
          <w:sz w:val="20"/>
        </w:rPr>
        <w:t xml:space="preserve"> рабочих дней с </w:t>
      </w:r>
      <w:r w:rsidR="00251F96" w:rsidRPr="002D547B">
        <w:rPr>
          <w:sz w:val="20"/>
        </w:rPr>
        <w:t xml:space="preserve">даты </w:t>
      </w:r>
      <w:r w:rsidR="008C236A" w:rsidRPr="002D547B">
        <w:rPr>
          <w:sz w:val="20"/>
        </w:rPr>
        <w:t xml:space="preserve">получения </w:t>
      </w:r>
      <w:r w:rsidR="00673812" w:rsidRPr="002D547B">
        <w:rPr>
          <w:sz w:val="20"/>
        </w:rPr>
        <w:t>направленного в соответствии с п</w:t>
      </w:r>
      <w:r w:rsidR="0016507B" w:rsidRPr="002D547B">
        <w:rPr>
          <w:sz w:val="20"/>
        </w:rPr>
        <w:t>ункт</w:t>
      </w:r>
      <w:r w:rsidR="003A05EA" w:rsidRPr="002D547B">
        <w:rPr>
          <w:sz w:val="20"/>
        </w:rPr>
        <w:t>ом</w:t>
      </w:r>
      <w:r w:rsidR="00673812" w:rsidRPr="002D547B">
        <w:rPr>
          <w:sz w:val="20"/>
        </w:rPr>
        <w:t xml:space="preserve"> </w:t>
      </w:r>
      <w:r w:rsidR="003A05EA" w:rsidRPr="002D547B">
        <w:rPr>
          <w:sz w:val="20"/>
        </w:rPr>
        <w:t>3</w:t>
      </w:r>
      <w:r w:rsidR="00673812" w:rsidRPr="002D547B">
        <w:rPr>
          <w:sz w:val="20"/>
        </w:rPr>
        <w:t>.</w:t>
      </w:r>
      <w:r w:rsidR="003A05EA" w:rsidRPr="002D547B">
        <w:rPr>
          <w:sz w:val="20"/>
        </w:rPr>
        <w:t>1</w:t>
      </w:r>
      <w:r w:rsidR="00673812" w:rsidRPr="002D547B">
        <w:rPr>
          <w:sz w:val="20"/>
        </w:rPr>
        <w:t xml:space="preserve"> Документации </w:t>
      </w:r>
      <w:r w:rsidR="008C236A" w:rsidRPr="002D547B">
        <w:rPr>
          <w:sz w:val="20"/>
        </w:rPr>
        <w:t xml:space="preserve">уведомления Организатора о результатах </w:t>
      </w:r>
      <w:r w:rsidR="005631CB" w:rsidRPr="002D547B">
        <w:rPr>
          <w:sz w:val="20"/>
        </w:rPr>
        <w:t>конкурентного отбора</w:t>
      </w:r>
      <w:r w:rsidR="00326DD8" w:rsidRPr="002D547B">
        <w:rPr>
          <w:sz w:val="20"/>
        </w:rPr>
        <w:t xml:space="preserve"> обязан </w:t>
      </w:r>
      <w:r w:rsidR="008C236A" w:rsidRPr="002D547B">
        <w:rPr>
          <w:sz w:val="20"/>
        </w:rPr>
        <w:t>пред</w:t>
      </w:r>
      <w:r w:rsidR="00865344" w:rsidRPr="002D547B">
        <w:rPr>
          <w:sz w:val="20"/>
        </w:rPr>
        <w:t>о</w:t>
      </w:r>
      <w:r w:rsidR="008C236A" w:rsidRPr="002D547B">
        <w:rPr>
          <w:sz w:val="20"/>
        </w:rPr>
        <w:t>ставить Заказчику</w:t>
      </w:r>
      <w:r w:rsidRPr="002D547B">
        <w:rPr>
          <w:sz w:val="20"/>
        </w:rPr>
        <w:t xml:space="preserve"> </w:t>
      </w:r>
      <w:r w:rsidR="0055344E" w:rsidRPr="002D547B">
        <w:rPr>
          <w:sz w:val="20"/>
        </w:rPr>
        <w:t>договор,</w:t>
      </w:r>
      <w:r w:rsidRPr="002D547B">
        <w:rPr>
          <w:sz w:val="20"/>
        </w:rPr>
        <w:t xml:space="preserve"> </w:t>
      </w:r>
      <w:r w:rsidR="0055344E" w:rsidRPr="002D547B">
        <w:rPr>
          <w:sz w:val="20"/>
        </w:rPr>
        <w:t>подписанный со своей стороны</w:t>
      </w:r>
      <w:r w:rsidR="008D3797" w:rsidRPr="002D547B">
        <w:rPr>
          <w:sz w:val="20"/>
        </w:rPr>
        <w:t xml:space="preserve">, </w:t>
      </w:r>
      <w:r w:rsidR="00043C34" w:rsidRPr="002D547B">
        <w:rPr>
          <w:sz w:val="20"/>
        </w:rPr>
        <w:t xml:space="preserve">подготовленный в соответствии </w:t>
      </w:r>
      <w:r w:rsidR="00287F8B" w:rsidRPr="002D547B">
        <w:rPr>
          <w:sz w:val="20"/>
        </w:rPr>
        <w:t xml:space="preserve">с </w:t>
      </w:r>
      <w:r w:rsidR="00043C34" w:rsidRPr="002D547B">
        <w:rPr>
          <w:sz w:val="20"/>
        </w:rPr>
        <w:t xml:space="preserve">пунктом </w:t>
      </w:r>
      <w:r w:rsidR="00582AB4" w:rsidRPr="002D547B">
        <w:rPr>
          <w:sz w:val="20"/>
        </w:rPr>
        <w:t>3</w:t>
      </w:r>
      <w:r w:rsidR="00043C34" w:rsidRPr="002D547B">
        <w:rPr>
          <w:sz w:val="20"/>
        </w:rPr>
        <w:t>.</w:t>
      </w:r>
      <w:r w:rsidR="00582AB4" w:rsidRPr="002D547B">
        <w:rPr>
          <w:sz w:val="20"/>
        </w:rPr>
        <w:t>2</w:t>
      </w:r>
      <w:r w:rsidR="00043C34" w:rsidRPr="002D547B">
        <w:rPr>
          <w:sz w:val="20"/>
        </w:rPr>
        <w:t>.</w:t>
      </w:r>
      <w:r w:rsidR="00311A42" w:rsidRPr="002D547B">
        <w:rPr>
          <w:sz w:val="20"/>
        </w:rPr>
        <w:t>2</w:t>
      </w:r>
      <w:r w:rsidR="00043C34" w:rsidRPr="002D547B">
        <w:rPr>
          <w:sz w:val="20"/>
        </w:rPr>
        <w:t xml:space="preserve"> Документации</w:t>
      </w:r>
      <w:r w:rsidR="00326DD8" w:rsidRPr="002D547B">
        <w:rPr>
          <w:sz w:val="20"/>
        </w:rPr>
        <w:t xml:space="preserve">, </w:t>
      </w:r>
      <w:r w:rsidR="008C236A" w:rsidRPr="002D547B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2D547B">
        <w:rPr>
          <w:sz w:val="20"/>
        </w:rPr>
        <w:t xml:space="preserve"> </w:t>
      </w:r>
    </w:p>
    <w:p w14:paraId="697CC49C" w14:textId="30B2A97E" w:rsidR="00043C34" w:rsidRPr="002D547B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2D547B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2D547B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2D547B">
        <w:rPr>
          <w:sz w:val="20"/>
        </w:rPr>
        <w:t xml:space="preserve"> на Официальном сайте ЕИС (</w:t>
      </w:r>
      <w:r w:rsidR="008E7C21" w:rsidRPr="002D547B">
        <w:rPr>
          <w:sz w:val="20"/>
          <w:lang w:val="en-US"/>
        </w:rPr>
        <w:t>www</w:t>
      </w:r>
      <w:r w:rsidR="008E7C21" w:rsidRPr="002D547B">
        <w:rPr>
          <w:sz w:val="20"/>
        </w:rPr>
        <w:t>.zakupki.gov.ru), на сайте ЭП (</w:t>
      </w:r>
      <w:proofErr w:type="spellStart"/>
      <w:r w:rsidR="008E7C21" w:rsidRPr="002D547B">
        <w:rPr>
          <w:sz w:val="20"/>
        </w:rPr>
        <w:t>etp</w:t>
      </w:r>
      <w:proofErr w:type="spellEnd"/>
      <w:r w:rsidR="008E7C21" w:rsidRPr="002D547B">
        <w:rPr>
          <w:sz w:val="20"/>
          <w:lang w:val="en-US"/>
        </w:rPr>
        <w:t>.gpb.ru</w:t>
      </w:r>
      <w:r w:rsidR="008E7C21" w:rsidRPr="002D547B">
        <w:rPr>
          <w:sz w:val="20"/>
        </w:rPr>
        <w:t>)</w:t>
      </w:r>
      <w:r w:rsidRPr="002D547B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</w:t>
      </w:r>
      <w:proofErr w:type="spellStart"/>
      <w:r w:rsidRPr="00A06C43">
        <w:rPr>
          <w:sz w:val="20"/>
        </w:rPr>
        <w:t>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</w:t>
      </w:r>
      <w:proofErr w:type="spellEnd"/>
      <w:r w:rsidRPr="00A06C43">
        <w:rPr>
          <w:sz w:val="20"/>
        </w:rPr>
        <w:t xml:space="preserve">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</w:t>
      </w:r>
      <w:proofErr w:type="gramStart"/>
      <w:r w:rsidRPr="00A06C43">
        <w:rPr>
          <w:sz w:val="20"/>
        </w:rPr>
        <w:t>о таких фактах</w:t>
      </w:r>
      <w:proofErr w:type="gramEnd"/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6F604EBF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>Документации, не допускается замена страны происхождения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за исключением случая, когда в результате такой замены вместо иностранных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поставляются российские товары</w:t>
      </w:r>
      <w:r w:rsidR="00B9267E">
        <w:rPr>
          <w:sz w:val="20"/>
        </w:rPr>
        <w:t xml:space="preserve"> (работы, услуги)</w:t>
      </w:r>
      <w:r w:rsidRPr="00A06C43">
        <w:rPr>
          <w:sz w:val="20"/>
        </w:rPr>
        <w:t>, при этом качество, технические и функциональные характеристики (потребительские свойства) таких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 не должны уступать качеству и соответствующим </w:t>
      </w:r>
      <w:r w:rsidRPr="00A06C43">
        <w:rPr>
          <w:sz w:val="20"/>
        </w:rPr>
        <w:lastRenderedPageBreak/>
        <w:t>техническим и функциональным характеристикам товаров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указанных в договоре.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40348083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Наличие у банка действующего кредитного рейтинга одного из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на уровне не ниже «ВВ-». При отсутствии установленных рейтингов для банка со стороны всех рейтинговых агентств S&amp;P, </w:t>
      </w:r>
      <w:proofErr w:type="spellStart"/>
      <w:r w:rsidRPr="00A06C43">
        <w:rPr>
          <w:sz w:val="20"/>
        </w:rPr>
        <w:t>Moody’s</w:t>
      </w:r>
      <w:proofErr w:type="spellEnd"/>
      <w:r w:rsidRPr="00A06C43">
        <w:rPr>
          <w:sz w:val="20"/>
        </w:rPr>
        <w:t xml:space="preserve">, </w:t>
      </w:r>
      <w:proofErr w:type="spellStart"/>
      <w:r w:rsidRPr="00A06C43">
        <w:rPr>
          <w:sz w:val="20"/>
        </w:rPr>
        <w:t>Fitch</w:t>
      </w:r>
      <w:proofErr w:type="spellEnd"/>
      <w:r w:rsidRPr="00A06C43">
        <w:rPr>
          <w:sz w:val="20"/>
        </w:rPr>
        <w:t xml:space="preserve">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40348084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40348085"/>
      <w:r w:rsidRPr="00A06C43">
        <w:rPr>
          <w:sz w:val="20"/>
        </w:rPr>
        <w:lastRenderedPageBreak/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40348086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075A4C05" w:rsidR="00C24593" w:rsidRPr="00AD6760" w:rsidRDefault="00D3424E" w:rsidP="00AD6760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40348087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47F95C56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D6760">
        <w:rPr>
          <w:sz w:val="20"/>
        </w:rPr>
        <w:t>«</w:t>
      </w:r>
      <w:r w:rsidR="008553E1" w:rsidRPr="00AD6760">
        <w:rPr>
          <w:b/>
          <w:sz w:val="20"/>
        </w:rPr>
        <w:t>Приложение к Форме 1 Ценовое предложение»</w:t>
      </w:r>
      <w:r w:rsidR="00C04E30" w:rsidRPr="00A06C43">
        <w:rPr>
          <w:sz w:val="20"/>
        </w:rPr>
        <w:t>.</w:t>
      </w:r>
    </w:p>
    <w:p w14:paraId="17C3B4E8" w14:textId="7FB507B4" w:rsidR="00294E00" w:rsidRPr="00AD6760" w:rsidRDefault="008553E1" w:rsidP="00AD6760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D6760">
        <w:rPr>
          <w:sz w:val="20"/>
        </w:rPr>
        <w:t>Ценовое</w:t>
      </w:r>
      <w:r w:rsidR="00294E00" w:rsidRPr="00AD6760">
        <w:rPr>
          <w:sz w:val="20"/>
        </w:rPr>
        <w:t xml:space="preserve"> предложение должно содержать описание </w:t>
      </w:r>
      <w:r w:rsidR="00AD6760">
        <w:rPr>
          <w:sz w:val="20"/>
        </w:rPr>
        <w:t>услуги, которая</w:t>
      </w:r>
      <w:r w:rsidR="00294E00" w:rsidRPr="00AD6760">
        <w:rPr>
          <w:sz w:val="20"/>
        </w:rPr>
        <w:t xml:space="preserve">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0B17D68A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="00AD6760">
        <w:rPr>
          <w:sz w:val="20"/>
        </w:rPr>
        <w:t xml:space="preserve"> (Приложение к Форме 1</w:t>
      </w:r>
      <w:r w:rsidRPr="00A06C43">
        <w:rPr>
          <w:sz w:val="20"/>
        </w:rPr>
        <w:t>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64743A95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</w:t>
      </w:r>
      <w:r w:rsidR="00B9267E">
        <w:rPr>
          <w:color w:val="auto"/>
          <w:sz w:val="20"/>
        </w:rPr>
        <w:t>ловия оказания услуг</w:t>
      </w:r>
      <w:r w:rsidRPr="00A06C43">
        <w:rPr>
          <w:color w:val="auto"/>
          <w:sz w:val="20"/>
        </w:rPr>
        <w:t xml:space="preserve">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4479ABAF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Заказчика к безопасности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к техническим, функциональным, качественным характеристикам (потребительским свойствам)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>, а также иные требования и показатели, связанные с определением соответствия поставляемого товара</w:t>
      </w:r>
      <w:r w:rsidR="00B9267E">
        <w:rPr>
          <w:sz w:val="20"/>
        </w:rPr>
        <w:t xml:space="preserve"> (работ, услуг)</w:t>
      </w:r>
      <w:r w:rsidRPr="00A06C43">
        <w:rPr>
          <w:sz w:val="20"/>
        </w:rPr>
        <w:t xml:space="preserve">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6E407CB3" w:rsidR="002A0938" w:rsidRPr="00A06C43" w:rsidRDefault="00B9267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>
        <w:rPr>
          <w:sz w:val="20"/>
        </w:rPr>
        <w:t>Срок (периоды) оказания услуг</w:t>
      </w:r>
      <w:r w:rsidR="00343FC9" w:rsidRPr="00A06C43">
        <w:rPr>
          <w:sz w:val="20"/>
        </w:rPr>
        <w:t>, установленные Заказчиком, представлены в Приложении 2</w:t>
      </w:r>
      <w:r w:rsidR="00E85792">
        <w:rPr>
          <w:sz w:val="20"/>
        </w:rPr>
        <w:t xml:space="preserve"> «Техническая часть»</w:t>
      </w:r>
      <w:r w:rsidR="00343FC9" w:rsidRPr="00A06C43">
        <w:rPr>
          <w:sz w:val="20"/>
        </w:rPr>
        <w:t>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40348088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частника, что его </w:t>
      </w:r>
      <w:r w:rsidRPr="00A06C43">
        <w:rPr>
          <w:sz w:val="20"/>
        </w:rPr>
        <w:lastRenderedPageBreak/>
        <w:t>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5F0FC7CB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соответствующую требованиями пункта 4.3.12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</w:t>
      </w:r>
      <w:proofErr w:type="gramStart"/>
      <w:r w:rsidRPr="00A06C43">
        <w:rPr>
          <w:sz w:val="20"/>
        </w:rPr>
        <w:t>»</w:t>
      </w:r>
      <w:proofErr w:type="gramEnd"/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3A7A340D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 в соответствии с пунктом 4.3.12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40348089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 xml:space="preserve">документов, подтверждающих </w:t>
      </w:r>
      <w:proofErr w:type="spellStart"/>
      <w:r w:rsidR="00775650" w:rsidRPr="00A06C43">
        <w:rPr>
          <w:sz w:val="20"/>
        </w:rPr>
        <w:t>бенефициарное</w:t>
      </w:r>
      <w:proofErr w:type="spellEnd"/>
      <w:r w:rsidR="00775650" w:rsidRPr="00A06C43">
        <w:rPr>
          <w:sz w:val="20"/>
        </w:rPr>
        <w:t xml:space="preserve">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6A5A5C">
        <w:rPr>
          <w:b/>
          <w:sz w:val="20"/>
        </w:rPr>
        <w:t>Росфинмониторинг</w:t>
      </w:r>
      <w:proofErr w:type="spellEnd"/>
      <w:r w:rsidRPr="006A5A5C">
        <w:rPr>
          <w:b/>
          <w:sz w:val="20"/>
        </w:rPr>
        <w:t xml:space="preserve">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101A3798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>Справка об опыте поставки товара</w:t>
      </w:r>
      <w:r w:rsidR="00B918F2">
        <w:rPr>
          <w:b/>
          <w:sz w:val="20"/>
        </w:rPr>
        <w:t xml:space="preserve"> </w:t>
      </w:r>
      <w:r w:rsidR="00B918F2" w:rsidRPr="00B918F2">
        <w:rPr>
          <w:b/>
          <w:sz w:val="20"/>
        </w:rPr>
        <w:t>(работ, услуг)</w:t>
      </w:r>
      <w:r w:rsidRPr="00A06C43">
        <w:rPr>
          <w:b/>
          <w:sz w:val="20"/>
        </w:rPr>
        <w:t xml:space="preserve">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41BED1B3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Отзывы заказчиков о работе с Участником и поставленном им товаре</w:t>
      </w:r>
      <w:r w:rsidR="00B918F2">
        <w:rPr>
          <w:sz w:val="20"/>
        </w:rPr>
        <w:t xml:space="preserve"> (работ, услуг)</w:t>
      </w:r>
      <w:r w:rsidRPr="00A06C43">
        <w:rPr>
          <w:sz w:val="20"/>
        </w:rPr>
        <w:t xml:space="preserve">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5093696E" w14:textId="579F1FB3" w:rsidR="006C09EF" w:rsidRPr="00A06C43" w:rsidRDefault="006C09EF" w:rsidP="006C09EF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Для официальных дилеров/дистрибьюторов - в копии дилерских/дистрибьюторских соглашений.</w:t>
      </w:r>
    </w:p>
    <w:p w14:paraId="19765EBB" w14:textId="3CDAC9D1" w:rsidR="006C09EF" w:rsidRPr="00A06C43" w:rsidRDefault="006C09EF" w:rsidP="006E6BA9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lastRenderedPageBreak/>
        <w:tab/>
        <w:t xml:space="preserve">Для поставщиков, не являющихся дилером/дистрибьютором либо производителем - копии писем предприятий-изготовителей </w:t>
      </w:r>
      <w:r w:rsidR="00BD2805" w:rsidRPr="00A06C43">
        <w:rPr>
          <w:sz w:val="20"/>
        </w:rPr>
        <w:t xml:space="preserve">или официальных дилеров/дистрибьюторов с подтверждением </w:t>
      </w:r>
      <w:r w:rsidR="000B41F8" w:rsidRPr="00A06C43">
        <w:rPr>
          <w:sz w:val="20"/>
        </w:rPr>
        <w:t xml:space="preserve">их </w:t>
      </w:r>
      <w:proofErr w:type="spellStart"/>
      <w:r w:rsidR="00BD2805" w:rsidRPr="00A06C43">
        <w:rPr>
          <w:sz w:val="20"/>
        </w:rPr>
        <w:t>дилерства</w:t>
      </w:r>
      <w:proofErr w:type="spellEnd"/>
      <w:r w:rsidR="00BD2805" w:rsidRPr="00A06C43">
        <w:rPr>
          <w:sz w:val="20"/>
        </w:rPr>
        <w:t>/</w:t>
      </w:r>
      <w:proofErr w:type="spellStart"/>
      <w:r w:rsidR="00BD2805" w:rsidRPr="00A06C43">
        <w:rPr>
          <w:sz w:val="20"/>
        </w:rPr>
        <w:t>дистрибъюторства</w:t>
      </w:r>
      <w:proofErr w:type="spellEnd"/>
      <w:r w:rsidR="00BD2805" w:rsidRPr="00A06C43">
        <w:rPr>
          <w:sz w:val="20"/>
        </w:rPr>
        <w:t xml:space="preserve"> </w:t>
      </w:r>
      <w:r w:rsidRPr="00A06C43">
        <w:rPr>
          <w:sz w:val="20"/>
        </w:rPr>
        <w:t xml:space="preserve">в адрес Заказчика, содержащих </w:t>
      </w:r>
      <w:r w:rsidR="005E32A2" w:rsidRPr="00A06C43">
        <w:rPr>
          <w:b/>
          <w:sz w:val="20"/>
        </w:rPr>
        <w:t xml:space="preserve">Гарантию </w:t>
      </w:r>
      <w:r w:rsidRPr="00A06C43">
        <w:rPr>
          <w:b/>
          <w:sz w:val="20"/>
        </w:rPr>
        <w:t>отгрузки товара</w:t>
      </w:r>
      <w:r w:rsidRPr="00A06C43">
        <w:rPr>
          <w:sz w:val="20"/>
        </w:rPr>
        <w:t xml:space="preserve"> </w:t>
      </w:r>
      <w:r w:rsidRPr="00A06C43">
        <w:rPr>
          <w:b/>
          <w:sz w:val="20"/>
        </w:rPr>
        <w:t xml:space="preserve">(Форма </w:t>
      </w:r>
      <w:r w:rsidR="005E32A2" w:rsidRPr="00A06C43">
        <w:rPr>
          <w:b/>
          <w:sz w:val="20"/>
        </w:rPr>
        <w:t>6</w:t>
      </w:r>
      <w:r w:rsidRPr="00A06C43">
        <w:rPr>
          <w:b/>
          <w:sz w:val="20"/>
        </w:rPr>
        <w:t>)</w:t>
      </w:r>
      <w:r w:rsidRPr="00A06C43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307D3569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5E32A2" w:rsidRPr="00A06C43">
        <w:rPr>
          <w:b/>
          <w:sz w:val="20"/>
        </w:rPr>
        <w:t>8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40348090"/>
      <w:r w:rsidRPr="00A06C43">
        <w:rPr>
          <w:sz w:val="20"/>
        </w:rPr>
        <w:lastRenderedPageBreak/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40348091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61"/>
        <w:gridCol w:w="4961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proofErr w:type="gramStart"/>
            <w:r w:rsidRPr="00A06C43">
              <w:t>« _</w:t>
            </w:r>
            <w:proofErr w:type="gramEnd"/>
            <w:r w:rsidRPr="00A06C43">
              <w:t>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1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2" w:history="1">
        <w:proofErr w:type="spellStart"/>
        <w:r w:rsidR="00DD4CB0" w:rsidRPr="00DD4CB0">
          <w:rPr>
            <w:rStyle w:val="af1"/>
            <w:u w:val="none"/>
          </w:rPr>
          <w:t>etp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DD4CB0" w:rsidRPr="00DD4CB0">
          <w:rPr>
            <w:rStyle w:val="af1"/>
            <w:u w:val="none"/>
            <w:lang w:val="en-US"/>
          </w:rPr>
          <w:t>gpb</w:t>
        </w:r>
        <w:proofErr w:type="spellEnd"/>
        <w:r w:rsidR="00DD4CB0" w:rsidRPr="00DD4CB0">
          <w:rPr>
            <w:rStyle w:val="af1"/>
            <w:u w:val="none"/>
            <w:lang w:val="en-US"/>
          </w:rPr>
          <w:t>.</w:t>
        </w:r>
        <w:proofErr w:type="spellStart"/>
        <w:r w:rsidR="00F26F9A" w:rsidRPr="00DD4CB0">
          <w:rPr>
            <w:rStyle w:val="af1"/>
            <w:u w:val="none"/>
          </w:rPr>
          <w:t>ru</w:t>
        </w:r>
        <w:proofErr w:type="spellEnd"/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01ED7EEE" w14:textId="6C59C880" w:rsidR="008557FE" w:rsidRPr="00A06C43" w:rsidRDefault="008557FE" w:rsidP="00575C1B">
      <w:pPr>
        <w:shd w:val="clear" w:color="auto" w:fill="FFFFFF"/>
        <w:tabs>
          <w:tab w:val="left" w:pos="709"/>
        </w:tabs>
        <w:jc w:val="both"/>
      </w:pP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</w:pPr>
      <w:bookmarkStart w:id="210" w:name="_Toc255048946"/>
      <w:bookmarkStart w:id="211" w:name="_Toc255048986"/>
    </w:p>
    <w:p w14:paraId="6D103F83" w14:textId="77777777" w:rsidR="00E9566E" w:rsidRDefault="00E9566E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325EACAF" w14:textId="77777777" w:rsidR="00E9566E" w:rsidRPr="00E9566E" w:rsidRDefault="00E9566E" w:rsidP="00E9566E">
      <w:pPr>
        <w:ind w:firstLine="709"/>
        <w:jc w:val="both"/>
        <w:rPr>
          <w:rFonts w:eastAsiaTheme="minorHAnsi"/>
          <w:lang w:eastAsia="en-US"/>
        </w:rPr>
      </w:pPr>
      <w:r w:rsidRPr="00E9566E">
        <w:rPr>
          <w:rFonts w:eastAsiaTheme="minorHAnsi"/>
          <w:lang w:eastAsia="en-US"/>
        </w:rPr>
        <w:t>Настоящая Заявка на участие в конкурентном отборе дополняется следующими документами, включая неотъемлемые приложения:</w:t>
      </w:r>
    </w:p>
    <w:p w14:paraId="7513831F" w14:textId="77777777" w:rsidR="00E9566E" w:rsidRPr="00E9566E" w:rsidRDefault="00E9566E" w:rsidP="00E9566E">
      <w:pPr>
        <w:ind w:firstLine="709"/>
        <w:jc w:val="both"/>
        <w:rPr>
          <w:rFonts w:eastAsiaTheme="minorHAnsi"/>
          <w:lang w:eastAsia="en-US"/>
        </w:rPr>
      </w:pPr>
    </w:p>
    <w:tbl>
      <w:tblPr>
        <w:tblStyle w:val="3b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1955"/>
      </w:tblGrid>
      <w:tr w:rsidR="00E9566E" w:rsidRPr="00E85792" w14:paraId="43C2E581" w14:textId="77777777" w:rsidTr="00640A45">
        <w:tc>
          <w:tcPr>
            <w:tcW w:w="1555" w:type="dxa"/>
          </w:tcPr>
          <w:p w14:paraId="089A3C65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Приложение 1</w:t>
            </w:r>
          </w:p>
        </w:tc>
        <w:tc>
          <w:tcPr>
            <w:tcW w:w="6237" w:type="dxa"/>
          </w:tcPr>
          <w:p w14:paraId="200B932F" w14:textId="77777777" w:rsidR="00E9566E" w:rsidRPr="00E85792" w:rsidRDefault="00E9566E" w:rsidP="00E9566E">
            <w:pPr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Ценовое предложение</w:t>
            </w:r>
          </w:p>
        </w:tc>
        <w:tc>
          <w:tcPr>
            <w:tcW w:w="1955" w:type="dxa"/>
          </w:tcPr>
          <w:p w14:paraId="771A3728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на ___ листах;</w:t>
            </w:r>
          </w:p>
        </w:tc>
      </w:tr>
      <w:tr w:rsidR="00E9566E" w:rsidRPr="00E85792" w14:paraId="2025FFC2" w14:textId="77777777" w:rsidTr="00640A45">
        <w:tc>
          <w:tcPr>
            <w:tcW w:w="1555" w:type="dxa"/>
          </w:tcPr>
          <w:p w14:paraId="26EB55F7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Приложение 2</w:t>
            </w:r>
          </w:p>
        </w:tc>
        <w:tc>
          <w:tcPr>
            <w:tcW w:w="6237" w:type="dxa"/>
          </w:tcPr>
          <w:p w14:paraId="2D4D9EE0" w14:textId="77777777" w:rsidR="00E9566E" w:rsidRPr="00E85792" w:rsidRDefault="00E9566E" w:rsidP="00E9566E">
            <w:pPr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Техническое предложение</w:t>
            </w:r>
          </w:p>
        </w:tc>
        <w:tc>
          <w:tcPr>
            <w:tcW w:w="1955" w:type="dxa"/>
          </w:tcPr>
          <w:p w14:paraId="15D4CF6B" w14:textId="77777777" w:rsidR="00E9566E" w:rsidRPr="00E85792" w:rsidRDefault="00E9566E" w:rsidP="00E9566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85792">
              <w:rPr>
                <w:rFonts w:ascii="Times New Roman" w:hAnsi="Times New Roman" w:cs="Times New Roman"/>
                <w:sz w:val="20"/>
              </w:rPr>
              <w:t>на ___ листах;</w:t>
            </w:r>
          </w:p>
        </w:tc>
      </w:tr>
    </w:tbl>
    <w:p w14:paraId="23617F8D" w14:textId="77777777" w:rsidR="00E9566E" w:rsidRPr="00A06C43" w:rsidRDefault="00E9566E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E9566E" w:rsidRPr="00A06C43" w:rsidSect="00E9566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851" w:bottom="851" w:left="1134" w:header="425" w:footer="567" w:gutter="0"/>
          <w:cols w:space="708"/>
          <w:docGrid w:linePitch="360"/>
        </w:sectPr>
      </w:pPr>
    </w:p>
    <w:bookmarkEnd w:id="210"/>
    <w:bookmarkEnd w:id="211"/>
    <w:p w14:paraId="64A86036" w14:textId="6A0D8AB7" w:rsidR="00297F39" w:rsidRPr="00E9566E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E9566E">
        <w:rPr>
          <w:b/>
          <w:sz w:val="20"/>
        </w:rPr>
        <w:lastRenderedPageBreak/>
        <w:t>Ценовое предложение</w:t>
      </w:r>
      <w:r w:rsidR="000827A7" w:rsidRPr="00E9566E">
        <w:rPr>
          <w:b/>
          <w:sz w:val="20"/>
        </w:rPr>
        <w:t xml:space="preserve"> (Приложение к Форме 1)</w:t>
      </w:r>
    </w:p>
    <w:p w14:paraId="24F002CA" w14:textId="77777777" w:rsidR="00E26267" w:rsidRPr="00E9566E" w:rsidRDefault="00E26267" w:rsidP="00BE0EFE">
      <w:pPr>
        <w:tabs>
          <w:tab w:val="left" w:pos="709"/>
        </w:tabs>
      </w:pPr>
    </w:p>
    <w:p w14:paraId="32360B60" w14:textId="77777777" w:rsidR="00E9566E" w:rsidRPr="00E9566E" w:rsidRDefault="00D109CC" w:rsidP="00E9566E">
      <w:pPr>
        <w:tabs>
          <w:tab w:val="left" w:pos="709"/>
        </w:tabs>
      </w:pPr>
      <w:r w:rsidRPr="00E9566E">
        <w:tab/>
      </w:r>
      <w:r w:rsidR="00E9566E" w:rsidRPr="00E9566E">
        <w:t>Ценовое предложение (Форма 1.1) является неотъемлемой частью Документации и размещено в корневой папке.</w:t>
      </w:r>
    </w:p>
    <w:p w14:paraId="4852D62D" w14:textId="5E5F4108" w:rsidR="005656D4" w:rsidRPr="00E9566E" w:rsidRDefault="00E9566E" w:rsidP="00E9566E">
      <w:pPr>
        <w:tabs>
          <w:tab w:val="left" w:pos="709"/>
        </w:tabs>
      </w:pPr>
      <w:r w:rsidRPr="00E9566E">
        <w:t>Файл – «Приложение к Форме 1 – КП.doc»</w:t>
      </w:r>
    </w:p>
    <w:p w14:paraId="61F4E852" w14:textId="77777777" w:rsidR="00297F39" w:rsidRPr="00E9566E" w:rsidRDefault="00297F39" w:rsidP="00E26267">
      <w:pPr>
        <w:tabs>
          <w:tab w:val="left" w:pos="709"/>
        </w:tabs>
      </w:pPr>
    </w:p>
    <w:p w14:paraId="0B818C3A" w14:textId="01F7524E" w:rsidR="00297F39" w:rsidRPr="00E9566E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E9566E">
        <w:rPr>
          <w:b/>
          <w:sz w:val="20"/>
        </w:rPr>
        <w:t>Таблица 2</w:t>
      </w:r>
      <w:r w:rsidR="00E4765D" w:rsidRPr="00E9566E">
        <w:rPr>
          <w:b/>
          <w:sz w:val="20"/>
        </w:rPr>
        <w:t xml:space="preserve"> (Техническое предложение)</w:t>
      </w:r>
    </w:p>
    <w:p w14:paraId="2CE6054D" w14:textId="77777777" w:rsidR="00E9566E" w:rsidRPr="00E9566E" w:rsidRDefault="00E9566E" w:rsidP="00E9566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  <w:sz w:val="20"/>
        </w:rPr>
      </w:pPr>
    </w:p>
    <w:p w14:paraId="64E493E3" w14:textId="77777777" w:rsidR="00E9566E" w:rsidRPr="00E9566E" w:rsidRDefault="00E9566E" w:rsidP="00E9566E">
      <w:pPr>
        <w:pStyle w:val="-0"/>
        <w:ind w:firstLine="709"/>
        <w:rPr>
          <w:sz w:val="20"/>
          <w:szCs w:val="20"/>
        </w:rPr>
      </w:pPr>
      <w:r w:rsidRPr="00E9566E">
        <w:rPr>
          <w:sz w:val="20"/>
          <w:szCs w:val="20"/>
        </w:rPr>
        <w:t>Техническое предложение (Форма 1.2) является неотъемлемой частью Документации и размещено в корневой папке.</w:t>
      </w:r>
    </w:p>
    <w:p w14:paraId="0F6632F1" w14:textId="300A6812" w:rsidR="00E9566E" w:rsidRPr="00E9566E" w:rsidRDefault="00E9566E" w:rsidP="00E9566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  <w:sz w:val="20"/>
        </w:rPr>
      </w:pPr>
      <w:r w:rsidRPr="00E9566E">
        <w:rPr>
          <w:sz w:val="20"/>
        </w:rPr>
        <w:t>Файл – «Приложение к Форме 1 – ТП.</w:t>
      </w:r>
      <w:r w:rsidRPr="00E9566E">
        <w:rPr>
          <w:sz w:val="20"/>
          <w:lang w:val="en-US"/>
        </w:rPr>
        <w:t>doc</w:t>
      </w:r>
      <w:r w:rsidRPr="00E9566E">
        <w:rPr>
          <w:sz w:val="20"/>
        </w:rPr>
        <w:t>»</w:t>
      </w:r>
    </w:p>
    <w:p w14:paraId="43413096" w14:textId="4E166B60" w:rsidR="00E9566E" w:rsidRDefault="00E9566E" w:rsidP="00E9566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i/>
        </w:rPr>
      </w:pPr>
    </w:p>
    <w:p w14:paraId="4D220FA6" w14:textId="77777777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E9566E"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40348092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lastRenderedPageBreak/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40"/>
        <w:gridCol w:w="6024"/>
        <w:gridCol w:w="3090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Учредители (перечислить наименование или организационно-правовую </w:t>
            </w:r>
            <w:proofErr w:type="gramStart"/>
            <w:r w:rsidRPr="00A06C43">
              <w:rPr>
                <w:sz w:val="16"/>
                <w:szCs w:val="16"/>
              </w:rPr>
              <w:t>форму</w:t>
            </w:r>
            <w:proofErr w:type="gramEnd"/>
            <w:r w:rsidRPr="00A06C43">
              <w:rPr>
                <w:sz w:val="16"/>
                <w:szCs w:val="16"/>
              </w:rPr>
              <w:t xml:space="preserve">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19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lastRenderedPageBreak/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75"/>
        <w:gridCol w:w="885"/>
        <w:gridCol w:w="1316"/>
        <w:gridCol w:w="879"/>
        <w:gridCol w:w="1174"/>
        <w:gridCol w:w="1469"/>
        <w:gridCol w:w="428"/>
        <w:gridCol w:w="711"/>
        <w:gridCol w:w="711"/>
        <w:gridCol w:w="1388"/>
        <w:gridCol w:w="1165"/>
        <w:gridCol w:w="1572"/>
        <w:gridCol w:w="1223"/>
        <w:gridCol w:w="1460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0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lastRenderedPageBreak/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</w:t>
      </w:r>
      <w:proofErr w:type="spellStart"/>
      <w:r w:rsidRPr="00F7689A">
        <w:rPr>
          <w:b/>
          <w:sz w:val="20"/>
        </w:rPr>
        <w:t>Росфинмониторинг</w:t>
      </w:r>
      <w:proofErr w:type="spellEnd"/>
      <w:r w:rsidRPr="00F7689A">
        <w:rPr>
          <w:b/>
          <w:sz w:val="20"/>
        </w:rPr>
        <w:t xml:space="preserve">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 xml:space="preserve">для последующей передачи в Минэнерго России, </w:t>
      </w:r>
      <w:proofErr w:type="spellStart"/>
      <w:r w:rsidRPr="00F7689A">
        <w:t>Росфинмониторинг</w:t>
      </w:r>
      <w:proofErr w:type="spellEnd"/>
      <w:r w:rsidRPr="00F7689A">
        <w:t>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77B4E2B6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40348093"/>
      <w:r w:rsidRPr="00A06C43">
        <w:rPr>
          <w:b/>
          <w:sz w:val="20"/>
        </w:rPr>
        <w:t xml:space="preserve">Справка </w:t>
      </w:r>
      <w:r w:rsidR="00640A45">
        <w:rPr>
          <w:b/>
          <w:bCs/>
          <w:sz w:val="20"/>
        </w:rPr>
        <w:t>об опыте оказания услуг, подобных</w:t>
      </w:r>
      <w:r w:rsidR="001571D0" w:rsidRPr="00A06C43">
        <w:rPr>
          <w:b/>
          <w:bCs/>
          <w:sz w:val="20"/>
        </w:rPr>
        <w:t xml:space="preserve">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30"/>
        <w:gridCol w:w="1032"/>
        <w:gridCol w:w="1393"/>
        <w:gridCol w:w="1336"/>
        <w:gridCol w:w="1032"/>
        <w:gridCol w:w="1560"/>
        <w:gridCol w:w="1527"/>
        <w:gridCol w:w="1253"/>
        <w:gridCol w:w="2288"/>
        <w:gridCol w:w="1446"/>
        <w:gridCol w:w="1759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4BA31B49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</w:t>
            </w:r>
            <w:r w:rsidR="001571D0" w:rsidRPr="00A06C43">
              <w:rPr>
                <w:sz w:val="16"/>
                <w:szCs w:val="16"/>
              </w:rPr>
              <w:t xml:space="preserve">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6BD18614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</w:t>
            </w:r>
            <w:r w:rsidR="001571D0" w:rsidRPr="00A06C43">
              <w:rPr>
                <w:sz w:val="16"/>
                <w:szCs w:val="16"/>
              </w:rPr>
              <w:t>,</w:t>
            </w:r>
          </w:p>
          <w:p w14:paraId="3954593F" w14:textId="1CE8D801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подобной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1BC17AFA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оказания услуг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077CCDF0" w:rsidR="001571D0" w:rsidRPr="00A06C43" w:rsidRDefault="00B918F2" w:rsidP="00157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всего договора</w:t>
            </w:r>
            <w:r w:rsidR="001571D0" w:rsidRPr="00A06C43">
              <w:rPr>
                <w:sz w:val="16"/>
                <w:szCs w:val="16"/>
              </w:rPr>
              <w:t xml:space="preserve"> в рублях (в </w:t>
            </w:r>
            <w:proofErr w:type="spellStart"/>
            <w:r w:rsidR="001571D0" w:rsidRPr="00A06C43">
              <w:rPr>
                <w:sz w:val="16"/>
                <w:szCs w:val="16"/>
              </w:rPr>
              <w:t>т.ч</w:t>
            </w:r>
            <w:proofErr w:type="spellEnd"/>
            <w:r w:rsidR="001571D0" w:rsidRPr="00A06C43">
              <w:rPr>
                <w:sz w:val="16"/>
                <w:szCs w:val="16"/>
              </w:rPr>
              <w:t>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2A917783" w:rsidR="001571D0" w:rsidRPr="00A06C43" w:rsidRDefault="001571D0" w:rsidP="00B918F2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</w:t>
            </w:r>
            <w:r w:rsidR="00B918F2">
              <w:rPr>
                <w:iCs/>
                <w:sz w:val="16"/>
                <w:szCs w:val="16"/>
              </w:rPr>
              <w:t>исполнитель/</w:t>
            </w:r>
            <w:proofErr w:type="spellStart"/>
            <w:r w:rsidR="00B918F2">
              <w:rPr>
                <w:iCs/>
                <w:sz w:val="16"/>
                <w:szCs w:val="16"/>
              </w:rPr>
              <w:t>субисполнитель</w:t>
            </w:r>
            <w:proofErr w:type="spellEnd"/>
            <w:r w:rsidRPr="00A06C43">
              <w:rPr>
                <w:iCs/>
                <w:sz w:val="16"/>
                <w:szCs w:val="16"/>
              </w:rPr>
              <w:t>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№___ </w:t>
            </w:r>
            <w:proofErr w:type="spellStart"/>
            <w:r w:rsidRPr="00A06C43">
              <w:rPr>
                <w:sz w:val="16"/>
                <w:szCs w:val="16"/>
              </w:rPr>
              <w:t>дд.мм.гггг</w:t>
            </w:r>
            <w:proofErr w:type="spellEnd"/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901A923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</w:t>
      </w:r>
      <w:r w:rsidR="00640A45">
        <w:t>ы оказания услуг, подобных</w:t>
      </w:r>
      <w:r w:rsidRPr="00A06C43">
        <w:t xml:space="preserve">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1D40BC67" w:rsidR="001571D0" w:rsidRPr="00A06C43" w:rsidRDefault="00C164F4" w:rsidP="001571D0">
      <w:pPr>
        <w:tabs>
          <w:tab w:val="left" w:pos="709"/>
        </w:tabs>
        <w:jc w:val="both"/>
      </w:pPr>
      <w:r>
        <w:t>*Под подобными услугами подразумеваются услуги</w:t>
      </w:r>
      <w:r w:rsidR="001571D0" w:rsidRPr="00A06C43">
        <w:t>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40348094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lastRenderedPageBreak/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2318233"/>
      <w:bookmarkStart w:id="351" w:name="_Toc382318341"/>
      <w:bookmarkStart w:id="352" w:name="_Toc529954376"/>
      <w:bookmarkStart w:id="353" w:name="_Toc279325402"/>
      <w:bookmarkStart w:id="354" w:name="_Toc315089814"/>
      <w:bookmarkStart w:id="355" w:name="_Toc319930669"/>
      <w:bookmarkStart w:id="356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7" w:name="P236"/>
      <w:bookmarkStart w:id="358" w:name="P248"/>
      <w:bookmarkStart w:id="359" w:name="P264"/>
      <w:bookmarkStart w:id="360" w:name="_Toc40348095"/>
      <w:bookmarkStart w:id="361" w:name="_Toc416814396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r w:rsidRPr="00A06C43">
        <w:rPr>
          <w:b/>
          <w:sz w:val="20"/>
          <w:szCs w:val="20"/>
        </w:rPr>
        <w:lastRenderedPageBreak/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0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5"/>
        <w:gridCol w:w="4869"/>
        <w:gridCol w:w="1417"/>
        <w:gridCol w:w="98"/>
        <w:gridCol w:w="1321"/>
        <w:gridCol w:w="56"/>
        <w:gridCol w:w="1361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</w:t>
            </w:r>
            <w:proofErr w:type="spellStart"/>
            <w:r w:rsidRPr="00A06C43">
              <w:rPr>
                <w:sz w:val="16"/>
                <w:szCs w:val="16"/>
              </w:rPr>
              <w:t>Сколково</w:t>
            </w:r>
            <w:proofErr w:type="spellEnd"/>
            <w:r w:rsidRPr="00A06C43">
              <w:rPr>
                <w:sz w:val="16"/>
                <w:szCs w:val="16"/>
              </w:rPr>
              <w:t>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до 15 -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120 в год - </w:t>
            </w:r>
            <w:proofErr w:type="spellStart"/>
            <w:r w:rsidRPr="00A06C43">
              <w:rPr>
                <w:sz w:val="16"/>
                <w:szCs w:val="16"/>
              </w:rPr>
              <w:t>микропредприятие</w:t>
            </w:r>
            <w:proofErr w:type="spellEnd"/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2" w:name="_Toc40348096"/>
      <w:r w:rsidRPr="00A06C43">
        <w:rPr>
          <w:b/>
          <w:sz w:val="20"/>
          <w:szCs w:val="20"/>
        </w:rPr>
        <w:lastRenderedPageBreak/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2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6283"/>
        <w:gridCol w:w="1338"/>
        <w:gridCol w:w="1336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3" w:name="_Toc40348097"/>
      <w:r w:rsidRPr="00A06C43">
        <w:rPr>
          <w:b/>
          <w:sz w:val="20"/>
          <w:lang w:val="ru-RU" w:eastAsia="ru-RU"/>
        </w:rPr>
        <w:lastRenderedPageBreak/>
        <w:t>Приложения к Документации</w:t>
      </w:r>
      <w:bookmarkEnd w:id="363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4" w:name="P302"/>
      <w:bookmarkStart w:id="365" w:name="P303"/>
      <w:bookmarkEnd w:id="364"/>
      <w:bookmarkEnd w:id="365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1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1"/>
      <w:footerReference w:type="first" r:id="rId22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FDE17" w14:textId="77777777" w:rsidR="002846DF" w:rsidRDefault="002846DF">
      <w:r>
        <w:separator/>
      </w:r>
    </w:p>
  </w:endnote>
  <w:endnote w:type="continuationSeparator" w:id="0">
    <w:p w14:paraId="641E493D" w14:textId="77777777" w:rsidR="002846DF" w:rsidRDefault="002846DF">
      <w:r>
        <w:continuationSeparator/>
      </w:r>
    </w:p>
  </w:endnote>
  <w:endnote w:type="continuationNotice" w:id="1">
    <w:p w14:paraId="29D9AA14" w14:textId="77777777" w:rsidR="002846DF" w:rsidRDefault="00284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F72344" w:rsidRPr="006460DD" w:rsidRDefault="00F72344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F72344" w:rsidRPr="00456CF4" w:rsidRDefault="00F72344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F72344" w:rsidRPr="00344B4F" w:rsidRDefault="00F72344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F72344" w:rsidRDefault="00F72344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F72344" w:rsidRPr="00F671E0" w:rsidRDefault="00F72344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CA276B" w:rsidRPr="00CA276B">
          <w:rPr>
            <w:noProof/>
            <w:sz w:val="20"/>
            <w:lang w:val="ru-RU"/>
          </w:rPr>
          <w:t>22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F72344" w:rsidRDefault="00F72344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F72344" w:rsidRPr="009B0937" w:rsidRDefault="00F72344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CA276B">
      <w:rPr>
        <w:noProof/>
        <w:sz w:val="20"/>
      </w:rPr>
      <w:t>25</w:t>
    </w:r>
    <w:r w:rsidRPr="009B0937">
      <w:rPr>
        <w:sz w:val="20"/>
      </w:rPr>
      <w:fldChar w:fldCharType="end"/>
    </w:r>
  </w:p>
  <w:p w14:paraId="2BE77704" w14:textId="77777777" w:rsidR="00F72344" w:rsidRDefault="00F7234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F72344" w:rsidRPr="00757D07" w:rsidRDefault="00F72344" w:rsidP="00757D07">
    <w:pPr>
      <w:pStyle w:val="ae"/>
    </w:pPr>
  </w:p>
  <w:p w14:paraId="300CF67E" w14:textId="77777777" w:rsidR="00F72344" w:rsidRDefault="00F7234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4BB4A" w14:textId="77777777" w:rsidR="002846DF" w:rsidRDefault="002846DF">
      <w:r>
        <w:separator/>
      </w:r>
    </w:p>
  </w:footnote>
  <w:footnote w:type="continuationSeparator" w:id="0">
    <w:p w14:paraId="1B144127" w14:textId="77777777" w:rsidR="002846DF" w:rsidRDefault="002846DF">
      <w:r>
        <w:continuationSeparator/>
      </w:r>
    </w:p>
  </w:footnote>
  <w:footnote w:type="continuationNotice" w:id="1">
    <w:p w14:paraId="675F7400" w14:textId="77777777" w:rsidR="002846DF" w:rsidRDefault="002846DF"/>
  </w:footnote>
  <w:footnote w:id="2">
    <w:p w14:paraId="38043511" w14:textId="1788FD13" w:rsidR="00F72344" w:rsidRPr="00622F4E" w:rsidRDefault="00F72344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</w:t>
      </w:r>
      <w:r>
        <w:rPr>
          <w:i/>
          <w:sz w:val="16"/>
          <w:szCs w:val="16"/>
        </w:rPr>
        <w:t>ств Участника по оказанию услуг, являющихся</w:t>
      </w:r>
      <w:r w:rsidRPr="00622F4E">
        <w:rPr>
          <w:i/>
          <w:sz w:val="16"/>
          <w:szCs w:val="16"/>
        </w:rPr>
        <w:t xml:space="preserve">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F72344" w:rsidRPr="00622F4E" w:rsidRDefault="00F72344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</w:t>
      </w:r>
    </w:p>
  </w:footnote>
  <w:footnote w:id="4">
    <w:p w14:paraId="2A6B7081" w14:textId="538F5264" w:rsidR="00F72344" w:rsidRPr="00CC1212" w:rsidRDefault="00F72344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</w:t>
      </w:r>
      <w:r>
        <w:rPr>
          <w:i/>
          <w:sz w:val="16"/>
          <w:szCs w:val="16"/>
        </w:rPr>
        <w:t xml:space="preserve"> (работ, услуг)</w:t>
      </w:r>
      <w:r w:rsidRPr="00147738">
        <w:rPr>
          <w:i/>
          <w:sz w:val="16"/>
          <w:szCs w:val="16"/>
        </w:rPr>
        <w:t>, являющихся предметом конкурентного отбора, и необходимым для исполнения обязательств по поставке товара</w:t>
      </w:r>
      <w:r>
        <w:rPr>
          <w:i/>
          <w:sz w:val="16"/>
          <w:szCs w:val="16"/>
        </w:rPr>
        <w:t xml:space="preserve"> (работ, услуг)</w:t>
      </w:r>
      <w:r w:rsidRPr="00147738">
        <w:rPr>
          <w:i/>
          <w:sz w:val="16"/>
          <w:szCs w:val="16"/>
        </w:rPr>
        <w:t>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F72344" w:rsidRPr="00622F4E" w:rsidRDefault="00F72344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F72344" w:rsidRDefault="00F72344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</w:t>
      </w:r>
      <w:proofErr w:type="gramStart"/>
      <w:r w:rsidRPr="00622F4E">
        <w:rPr>
          <w:i/>
          <w:sz w:val="16"/>
          <w:szCs w:val="16"/>
        </w:rPr>
        <w:t>»</w:t>
      </w:r>
      <w:proofErr w:type="gramEnd"/>
      <w:r w:rsidRPr="00622F4E">
        <w:rPr>
          <w:i/>
          <w:sz w:val="16"/>
          <w:szCs w:val="16"/>
        </w:rPr>
        <w:t xml:space="preserve">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F72344" w:rsidRPr="00211548" w:rsidRDefault="00F72344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F72344" w:rsidRDefault="00F72344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F72344" w:rsidRPr="00F86983" w:rsidRDefault="00F72344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</w:t>
      </w:r>
      <w:proofErr w:type="gramStart"/>
      <w:r w:rsidRPr="00F86983">
        <w:rPr>
          <w:i/>
          <w:sz w:val="16"/>
          <w:szCs w:val="16"/>
        </w:rPr>
        <w:t>Участники  заполняют</w:t>
      </w:r>
      <w:proofErr w:type="gramEnd"/>
      <w:r w:rsidRPr="00F86983">
        <w:rPr>
          <w:i/>
          <w:sz w:val="16"/>
          <w:szCs w:val="16"/>
        </w:rPr>
        <w:t xml:space="preserve">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</w:t>
      </w:r>
      <w:proofErr w:type="gramStart"/>
      <w:r w:rsidRPr="00C507A9">
        <w:rPr>
          <w:rStyle w:val="FontStyle16"/>
          <w:i/>
          <w:spacing w:val="0"/>
          <w:sz w:val="16"/>
          <w:szCs w:val="16"/>
        </w:rPr>
        <w:t>преимущества</w:t>
      </w:r>
      <w:proofErr w:type="gramEnd"/>
      <w:r w:rsidRPr="00C507A9">
        <w:rPr>
          <w:rStyle w:val="FontStyle16"/>
          <w:i/>
          <w:spacing w:val="0"/>
          <w:sz w:val="16"/>
          <w:szCs w:val="16"/>
        </w:rPr>
        <w:t xml:space="preserve">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F72344" w:rsidRPr="00C507A9" w:rsidRDefault="00F72344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F72344" w:rsidRPr="00C507A9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F72344" w:rsidRPr="00E276AD" w:rsidRDefault="00F72344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F72344" w:rsidRPr="00F86983" w:rsidRDefault="00F72344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F72344" w:rsidRPr="00F86983" w:rsidRDefault="00F72344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F72344" w:rsidRPr="00147D6B" w:rsidRDefault="00F72344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F72344" w:rsidRDefault="00F72344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F72344" w:rsidRPr="0053253C" w:rsidRDefault="00F72344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F72344" w:rsidRPr="0053253C" w:rsidRDefault="00F72344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F72344" w:rsidRDefault="00F72344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F72344" w:rsidRDefault="00F7234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F72344" w:rsidRPr="000B451C" w:rsidRDefault="00F72344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F72344" w:rsidRDefault="00F72344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F72344" w:rsidRPr="00711D68" w:rsidRDefault="00F72344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F72344" w:rsidRDefault="00F7234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F72344" w:rsidRDefault="00F72344">
    <w:pPr>
      <w:pStyle w:val="ac"/>
      <w:rPr>
        <w:sz w:val="20"/>
      </w:rPr>
    </w:pPr>
  </w:p>
  <w:p w14:paraId="47F1515E" w14:textId="77777777" w:rsidR="00F72344" w:rsidRDefault="00F72344">
    <w:pPr>
      <w:pStyle w:val="ac"/>
      <w:rPr>
        <w:sz w:val="20"/>
      </w:rPr>
    </w:pPr>
  </w:p>
  <w:p w14:paraId="57DB6893" w14:textId="1517AAA4" w:rsidR="00F72344" w:rsidRDefault="00F72344">
    <w:pPr>
      <w:pStyle w:val="ac"/>
      <w:rPr>
        <w:sz w:val="20"/>
      </w:rPr>
    </w:pPr>
  </w:p>
  <w:p w14:paraId="1B15812F" w14:textId="77777777" w:rsidR="00F72344" w:rsidRDefault="00F72344">
    <w:pPr>
      <w:pStyle w:val="ac"/>
      <w:rPr>
        <w:sz w:val="20"/>
      </w:rPr>
    </w:pPr>
  </w:p>
  <w:p w14:paraId="4D55E6C5" w14:textId="77777777" w:rsidR="00F72344" w:rsidRDefault="00F72344">
    <w:pPr>
      <w:pStyle w:val="ac"/>
      <w:rPr>
        <w:sz w:val="20"/>
      </w:rPr>
    </w:pPr>
  </w:p>
  <w:p w14:paraId="4BA96D8D" w14:textId="77777777" w:rsidR="00F72344" w:rsidRDefault="00F72344">
    <w:pPr>
      <w:pStyle w:val="ac"/>
      <w:rPr>
        <w:sz w:val="20"/>
      </w:rPr>
    </w:pPr>
  </w:p>
  <w:p w14:paraId="05A534D1" w14:textId="77777777" w:rsidR="00F72344" w:rsidRDefault="00F72344">
    <w:pPr>
      <w:pStyle w:val="ac"/>
      <w:rPr>
        <w:sz w:val="20"/>
      </w:rPr>
    </w:pPr>
  </w:p>
  <w:p w14:paraId="65E517B0" w14:textId="77777777" w:rsidR="00F72344" w:rsidRDefault="00F72344">
    <w:pPr>
      <w:pStyle w:val="ac"/>
      <w:rPr>
        <w:sz w:val="20"/>
      </w:rPr>
    </w:pPr>
  </w:p>
  <w:p w14:paraId="0D873DD5" w14:textId="77777777" w:rsidR="00F72344" w:rsidRDefault="00F72344">
    <w:pPr>
      <w:pStyle w:val="ac"/>
      <w:rPr>
        <w:sz w:val="20"/>
      </w:rPr>
    </w:pPr>
  </w:p>
  <w:p w14:paraId="2A2267B1" w14:textId="77777777" w:rsidR="00F72344" w:rsidRDefault="00F72344">
    <w:pPr>
      <w:pStyle w:val="ac"/>
      <w:rPr>
        <w:sz w:val="20"/>
      </w:rPr>
    </w:pPr>
  </w:p>
  <w:p w14:paraId="0EC76161" w14:textId="77777777" w:rsidR="00F72344" w:rsidRDefault="00F72344">
    <w:pPr>
      <w:pStyle w:val="ac"/>
      <w:rPr>
        <w:sz w:val="20"/>
      </w:rPr>
    </w:pPr>
  </w:p>
  <w:p w14:paraId="4C817866" w14:textId="77777777" w:rsidR="00F72344" w:rsidRDefault="00F72344">
    <w:pPr>
      <w:pStyle w:val="ac"/>
      <w:rPr>
        <w:sz w:val="20"/>
      </w:rPr>
    </w:pPr>
  </w:p>
  <w:p w14:paraId="2ADE1BBB" w14:textId="77777777" w:rsidR="00F72344" w:rsidRDefault="00F72344">
    <w:pPr>
      <w:pStyle w:val="ac"/>
      <w:rPr>
        <w:sz w:val="20"/>
      </w:rPr>
    </w:pPr>
  </w:p>
  <w:p w14:paraId="4E2E3EFB" w14:textId="77777777" w:rsidR="00F72344" w:rsidRDefault="00F72344">
    <w:pPr>
      <w:pStyle w:val="ac"/>
      <w:rPr>
        <w:sz w:val="20"/>
      </w:rPr>
    </w:pPr>
  </w:p>
  <w:p w14:paraId="4E4D880E" w14:textId="77777777" w:rsidR="00F72344" w:rsidRDefault="00F72344">
    <w:pPr>
      <w:pStyle w:val="ac"/>
      <w:rPr>
        <w:sz w:val="20"/>
      </w:rPr>
    </w:pPr>
  </w:p>
  <w:p w14:paraId="6FD5CC13" w14:textId="77777777" w:rsidR="00F72344" w:rsidRDefault="00F72344">
    <w:pPr>
      <w:pStyle w:val="ac"/>
      <w:rPr>
        <w:sz w:val="20"/>
      </w:rPr>
    </w:pPr>
  </w:p>
  <w:p w14:paraId="0FDD81CB" w14:textId="77777777" w:rsidR="00F72344" w:rsidRPr="003B3F22" w:rsidRDefault="00F7234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F72344" w:rsidRDefault="00F72344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F72344" w:rsidRDefault="00F72344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F72344" w:rsidRDefault="00F72344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F72344" w:rsidRPr="003B3F22" w:rsidRDefault="00F72344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0ED1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9FE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2FC9"/>
    <w:rsid w:val="001D3194"/>
    <w:rsid w:val="001D327B"/>
    <w:rsid w:val="001D45D8"/>
    <w:rsid w:val="001D5484"/>
    <w:rsid w:val="001D63A4"/>
    <w:rsid w:val="001D777E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29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46DF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1D35"/>
    <w:rsid w:val="002D21DC"/>
    <w:rsid w:val="002D2B52"/>
    <w:rsid w:val="002D37F4"/>
    <w:rsid w:val="002D3A24"/>
    <w:rsid w:val="002D3BA4"/>
    <w:rsid w:val="002D40AB"/>
    <w:rsid w:val="002D524D"/>
    <w:rsid w:val="002D52CE"/>
    <w:rsid w:val="002D547B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7777B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42F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62BA"/>
    <w:rsid w:val="003F7848"/>
    <w:rsid w:val="0040090D"/>
    <w:rsid w:val="00400921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B8"/>
    <w:rsid w:val="004B69D5"/>
    <w:rsid w:val="004B6A5E"/>
    <w:rsid w:val="004C0043"/>
    <w:rsid w:val="004C055A"/>
    <w:rsid w:val="004C05E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378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4AEE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45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5BD2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E38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4EC"/>
    <w:rsid w:val="008957EA"/>
    <w:rsid w:val="00895B29"/>
    <w:rsid w:val="00895BE2"/>
    <w:rsid w:val="00895CB9"/>
    <w:rsid w:val="0089603C"/>
    <w:rsid w:val="008968C1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5BB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699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CB7"/>
    <w:rsid w:val="00A86045"/>
    <w:rsid w:val="00A860A4"/>
    <w:rsid w:val="00A86E18"/>
    <w:rsid w:val="00A87569"/>
    <w:rsid w:val="00A87CF1"/>
    <w:rsid w:val="00A90102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2E89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60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18F2"/>
    <w:rsid w:val="00B9267E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4043"/>
    <w:rsid w:val="00C15007"/>
    <w:rsid w:val="00C15062"/>
    <w:rsid w:val="00C15459"/>
    <w:rsid w:val="00C15F0C"/>
    <w:rsid w:val="00C160B5"/>
    <w:rsid w:val="00C161F0"/>
    <w:rsid w:val="00C164F4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76B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311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CAF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5792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66E"/>
    <w:rsid w:val="00E95A77"/>
    <w:rsid w:val="00E95C7C"/>
    <w:rsid w:val="00E95FF7"/>
    <w:rsid w:val="00E970EF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572"/>
    <w:rsid w:val="00F06BC7"/>
    <w:rsid w:val="00F078A7"/>
    <w:rsid w:val="00F101E2"/>
    <w:rsid w:val="00F10894"/>
    <w:rsid w:val="00F10D68"/>
    <w:rsid w:val="00F12089"/>
    <w:rsid w:val="00F120EA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17EFC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344"/>
    <w:rsid w:val="00F72ADF"/>
    <w:rsid w:val="00F7354E"/>
    <w:rsid w:val="00F735DE"/>
    <w:rsid w:val="00F74569"/>
    <w:rsid w:val="00F745BB"/>
    <w:rsid w:val="00F74888"/>
    <w:rsid w:val="00F76122"/>
    <w:rsid w:val="00F76871"/>
    <w:rsid w:val="00F7689A"/>
    <w:rsid w:val="00F76B92"/>
    <w:rsid w:val="00F76FE8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96D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887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149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  <w:style w:type="table" w:customStyle="1" w:styleId="3b">
    <w:name w:val="Сетка таблицы3"/>
    <w:basedOn w:val="a3"/>
    <w:next w:val="aff1"/>
    <w:uiPriority w:val="39"/>
    <w:rsid w:val="00E956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ГФА - обычный"/>
    <w:basedOn w:val="a1"/>
    <w:link w:val="-8"/>
    <w:qFormat/>
    <w:rsid w:val="00E9566E"/>
    <w:pPr>
      <w:jc w:val="both"/>
    </w:pPr>
    <w:rPr>
      <w:rFonts w:eastAsiaTheme="minorHAnsi"/>
      <w:sz w:val="24"/>
      <w:szCs w:val="28"/>
      <w:lang w:eastAsia="en-US"/>
    </w:rPr>
  </w:style>
  <w:style w:type="character" w:customStyle="1" w:styleId="-8">
    <w:name w:val="ГФА - обычный Знак"/>
    <w:basedOn w:val="a2"/>
    <w:link w:val="-0"/>
    <w:rsid w:val="00E9566E"/>
    <w:rPr>
      <w:rFonts w:eastAsiaTheme="minorHAnsi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www.etpgaz.gazprombank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yperlink" Target="http://www.zakupki.gov.ru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7E35-4DC6-40C3-B12C-F6107BF4C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11001</Words>
  <Characters>62709</Characters>
  <Application>Microsoft Office Word</Application>
  <DocSecurity>0</DocSecurity>
  <Lines>522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73563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Залялютдинова Дина Галимьяновна</cp:lastModifiedBy>
  <cp:revision>11</cp:revision>
  <cp:lastPrinted>2019-12-12T08:36:00Z</cp:lastPrinted>
  <dcterms:created xsi:type="dcterms:W3CDTF">2020-05-20T09:56:00Z</dcterms:created>
  <dcterms:modified xsi:type="dcterms:W3CDTF">2021-06-04T05:10:00Z</dcterms:modified>
</cp:coreProperties>
</file>