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967" w:rsidRDefault="00F81967" w:rsidP="00CC1052">
      <w:pPr>
        <w:pStyle w:val="a6"/>
        <w:spacing w:before="0" w:after="0"/>
        <w:contextualSpacing w:val="0"/>
      </w:pPr>
    </w:p>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D514EB">
        <w:t xml:space="preserve"> 1328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D514E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D514E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D514E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D514E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D514E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D514E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D514E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D514E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514E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514E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514E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514E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F81967"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1D47E4">
            <w:pPr>
              <w:pStyle w:val="ad"/>
            </w:pPr>
            <w:r>
              <w:t>Закупка</w:t>
            </w:r>
            <w:r w:rsidRPr="00CB432A">
              <w:t xml:space="preserve"> объявлен</w:t>
            </w:r>
            <w:r>
              <w:t>а</w:t>
            </w:r>
            <w:r w:rsidR="00934048">
              <w:t xml:space="preserve"> Извещением №</w:t>
            </w:r>
            <w:r w:rsidR="00D514EB">
              <w:rPr>
                <w:lang w:val="en-US"/>
              </w:rPr>
              <w:t>1328</w:t>
            </w:r>
            <w:r w:rsidRPr="00B16EB4">
              <w:rPr>
                <w:highlight w:val="yellow"/>
              </w:rPr>
              <w:t xml:space="preserve">,  </w:t>
            </w:r>
            <w:r w:rsidR="00FA7B0C">
              <w:rPr>
                <w:noProof/>
                <w:highlight w:val="yellow"/>
              </w:rPr>
              <w:t>«</w:t>
            </w:r>
            <w:r w:rsidR="001D47E4">
              <w:rPr>
                <w:noProof/>
                <w:highlight w:val="yellow"/>
                <w:lang w:val="en-US"/>
              </w:rPr>
              <w:t>28</w:t>
            </w:r>
            <w:r w:rsidR="00774108">
              <w:rPr>
                <w:noProof/>
                <w:highlight w:val="yellow"/>
              </w:rPr>
              <w:t xml:space="preserve">» </w:t>
            </w:r>
            <w:r w:rsidR="001D47E4">
              <w:rPr>
                <w:noProof/>
                <w:highlight w:val="yellow"/>
              </w:rPr>
              <w:t xml:space="preserve"> июня </w:t>
            </w:r>
            <w:r w:rsidR="00CF06BE">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134955" w:rsidP="007A3E81">
            <w:pPr>
              <w:pStyle w:val="ad"/>
              <w:rPr>
                <w:noProof/>
                <w:lang w:val="en-US"/>
              </w:rPr>
            </w:pPr>
            <w:r w:rsidRPr="00134955">
              <w:rPr>
                <w:sz w:val="24"/>
                <w:szCs w:val="24"/>
              </w:rPr>
              <w:t>616 801,75</w:t>
            </w:r>
            <w:r>
              <w:rPr>
                <w:sz w:val="24"/>
                <w:szCs w:val="24"/>
                <w:lang w:val="en-US"/>
              </w:rPr>
              <w:t xml:space="preserve">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134955" w:rsidP="007A3E81">
            <w:pPr>
              <w:pStyle w:val="ad"/>
            </w:pPr>
            <w:r w:rsidRPr="00134955">
              <w:t>514 001,46</w:t>
            </w:r>
            <w:r>
              <w:rPr>
                <w:lang w:val="en-US"/>
              </w:rPr>
              <w:t xml:space="preserve"> </w:t>
            </w:r>
            <w:r w:rsidR="00CF06BE">
              <w:t xml:space="preserve">рубль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1D47E4" w:rsidRDefault="00D65CCC" w:rsidP="007A3E81">
            <w:pPr>
              <w:pStyle w:val="ad"/>
            </w:pPr>
            <w:r w:rsidRPr="001D47E4">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1D47E4" w:rsidRDefault="00D65CCC" w:rsidP="001D47E4">
            <w:pPr>
              <w:pStyle w:val="ad"/>
            </w:pPr>
            <w:r w:rsidRPr="001D47E4">
              <w:t xml:space="preserve">С </w:t>
            </w:r>
            <w:r w:rsidR="001D47E4" w:rsidRPr="001D47E4">
              <w:t xml:space="preserve">29.06.2021 </w:t>
            </w:r>
            <w:r w:rsidR="000A6A97" w:rsidRPr="001D47E4">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1D47E4" w:rsidRDefault="0057736F" w:rsidP="001D47E4">
            <w:pPr>
              <w:pStyle w:val="ad"/>
            </w:pPr>
            <w:r w:rsidRPr="001D47E4">
              <w:rPr>
                <w:noProof/>
              </w:rPr>
              <w:t>«</w:t>
            </w:r>
            <w:r w:rsidR="001D47E4" w:rsidRPr="001D47E4">
              <w:rPr>
                <w:noProof/>
              </w:rPr>
              <w:t>05</w:t>
            </w:r>
            <w:r w:rsidRPr="001D47E4">
              <w:rPr>
                <w:noProof/>
              </w:rPr>
              <w:t xml:space="preserve">» </w:t>
            </w:r>
            <w:r w:rsidR="001D47E4" w:rsidRPr="001D47E4">
              <w:rPr>
                <w:noProof/>
              </w:rPr>
              <w:t xml:space="preserve">июля </w:t>
            </w:r>
            <w:r w:rsidR="00CF06BE" w:rsidRPr="001D47E4">
              <w:rPr>
                <w:noProof/>
              </w:rPr>
              <w:t xml:space="preserve"> 2021</w:t>
            </w:r>
            <w:r w:rsidRPr="001D47E4">
              <w:t xml:space="preserve"> года </w:t>
            </w:r>
            <w:r w:rsidR="001D47E4" w:rsidRPr="001D47E4">
              <w:t>23</w:t>
            </w:r>
            <w:r w:rsidR="00A46A08" w:rsidRPr="001D47E4">
              <w:t>:</w:t>
            </w:r>
            <w:r w:rsidR="001D47E4" w:rsidRPr="001D47E4">
              <w:t>59</w:t>
            </w:r>
            <w:r w:rsidR="00D65CCC" w:rsidRPr="001D47E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1D47E4" w:rsidRDefault="00D65CCC" w:rsidP="007A3E81">
            <w:pPr>
              <w:pStyle w:val="ad"/>
            </w:pPr>
            <w:r w:rsidRPr="001D47E4">
              <w:rPr>
                <w:noProof/>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1D47E4" w:rsidRDefault="0057736F" w:rsidP="001D47E4">
            <w:pPr>
              <w:pStyle w:val="ad"/>
            </w:pPr>
            <w:r w:rsidRPr="001D47E4">
              <w:rPr>
                <w:noProof/>
              </w:rPr>
              <w:t>«</w:t>
            </w:r>
            <w:r w:rsidR="001D47E4" w:rsidRPr="001D47E4">
              <w:rPr>
                <w:noProof/>
              </w:rPr>
              <w:t>06</w:t>
            </w:r>
            <w:r w:rsidR="00A46A08" w:rsidRPr="001D47E4">
              <w:rPr>
                <w:noProof/>
              </w:rPr>
              <w:t xml:space="preserve">» </w:t>
            </w:r>
            <w:r w:rsidR="001D47E4" w:rsidRPr="001D47E4">
              <w:rPr>
                <w:noProof/>
              </w:rPr>
              <w:t xml:space="preserve">июля </w:t>
            </w:r>
            <w:r w:rsidR="00D37CDC" w:rsidRPr="001D47E4">
              <w:rPr>
                <w:noProof/>
              </w:rPr>
              <w:t>_</w:t>
            </w:r>
            <w:r w:rsidR="00CF06BE" w:rsidRPr="001D47E4">
              <w:rPr>
                <w:noProof/>
              </w:rPr>
              <w:t>2021</w:t>
            </w:r>
            <w:r w:rsidRPr="001D47E4">
              <w:t xml:space="preserve"> года </w:t>
            </w:r>
            <w:r w:rsidR="001D47E4" w:rsidRPr="001D47E4">
              <w:t>00</w:t>
            </w:r>
            <w:r w:rsidR="00A46A08" w:rsidRPr="001D47E4">
              <w:t>:0</w:t>
            </w:r>
            <w:r w:rsidR="001D47E4" w:rsidRPr="001D47E4">
              <w:t>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1D47E4" w:rsidRDefault="00D65CCC" w:rsidP="001D47E4">
            <w:pPr>
              <w:pStyle w:val="ad"/>
            </w:pPr>
            <w:r w:rsidRPr="001D47E4">
              <w:t xml:space="preserve">Не позднее </w:t>
            </w:r>
            <w:r w:rsidR="00AD5B20" w:rsidRPr="001D47E4">
              <w:rPr>
                <w:noProof/>
              </w:rPr>
              <w:t>«</w:t>
            </w:r>
            <w:r w:rsidR="001D47E4" w:rsidRPr="001D47E4">
              <w:rPr>
                <w:noProof/>
              </w:rPr>
              <w:t>07</w:t>
            </w:r>
            <w:r w:rsidR="00AD5B20" w:rsidRPr="001D47E4">
              <w:rPr>
                <w:noProof/>
              </w:rPr>
              <w:t xml:space="preserve">» </w:t>
            </w:r>
            <w:r w:rsidR="001D47E4" w:rsidRPr="001D47E4">
              <w:rPr>
                <w:noProof/>
              </w:rPr>
              <w:t xml:space="preserve">июля </w:t>
            </w:r>
            <w:r w:rsidR="00CF06BE" w:rsidRPr="001D47E4">
              <w:rPr>
                <w:noProof/>
              </w:rPr>
              <w:t>2021</w:t>
            </w:r>
            <w:r w:rsidR="00AD5B20" w:rsidRPr="001D47E4">
              <w:t xml:space="preserve"> года </w:t>
            </w:r>
            <w:r w:rsidR="001D47E4" w:rsidRPr="001D47E4">
              <w:t>17</w:t>
            </w:r>
            <w:r w:rsidR="00A46A08" w:rsidRPr="001D47E4">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1D47E4" w:rsidRDefault="00D65CCC" w:rsidP="00304C6E">
            <w:pPr>
              <w:pStyle w:val="ad"/>
            </w:pPr>
            <w:r w:rsidRPr="001D47E4">
              <w:t xml:space="preserve">Не позднее </w:t>
            </w:r>
            <w:r w:rsidR="001D47E4" w:rsidRPr="001D47E4">
              <w:rPr>
                <w:noProof/>
              </w:rPr>
              <w:t>«07» июля 2021 года 17:00</w:t>
            </w:r>
            <w:r w:rsidRPr="001D47E4">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1D47E4" w:rsidRDefault="00D65CCC" w:rsidP="001D47E4">
            <w:pPr>
              <w:pStyle w:val="ad"/>
            </w:pPr>
            <w:r w:rsidRPr="001D47E4">
              <w:t xml:space="preserve">Не позднее </w:t>
            </w:r>
            <w:r w:rsidR="00485B55" w:rsidRPr="001D47E4">
              <w:rPr>
                <w:noProof/>
              </w:rPr>
              <w:t>«</w:t>
            </w:r>
            <w:r w:rsidR="001D47E4">
              <w:rPr>
                <w:noProof/>
              </w:rPr>
              <w:t>09</w:t>
            </w:r>
            <w:r w:rsidR="00485B55" w:rsidRPr="001D47E4">
              <w:rPr>
                <w:noProof/>
              </w:rPr>
              <w:t xml:space="preserve">» </w:t>
            </w:r>
            <w:r w:rsidR="001D47E4">
              <w:rPr>
                <w:noProof/>
              </w:rPr>
              <w:t xml:space="preserve">июля </w:t>
            </w:r>
            <w:r w:rsidR="00CF06BE" w:rsidRPr="001D47E4">
              <w:rPr>
                <w:noProof/>
              </w:rPr>
              <w:t>021</w:t>
            </w:r>
            <w:r w:rsidR="00485B55" w:rsidRPr="001D47E4">
              <w:t xml:space="preserve"> года </w:t>
            </w:r>
            <w:r w:rsidR="00A46A08" w:rsidRPr="001D47E4">
              <w:t>1</w:t>
            </w:r>
            <w:r w:rsidR="001D47E4">
              <w:t>6</w:t>
            </w:r>
            <w:r w:rsidR="00A46A08" w:rsidRPr="001D47E4">
              <w:t>:00</w:t>
            </w:r>
            <w:r w:rsidR="00D557A4" w:rsidRPr="001D47E4">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1D47E4" w:rsidRDefault="00D65CCC" w:rsidP="001D47E4">
            <w:pPr>
              <w:pStyle w:val="ad"/>
            </w:pPr>
            <w:r w:rsidRPr="001D47E4">
              <w:t xml:space="preserve">Не позднее </w:t>
            </w:r>
            <w:r w:rsidR="00485B55" w:rsidRPr="001D47E4">
              <w:rPr>
                <w:noProof/>
              </w:rPr>
              <w:t>«</w:t>
            </w:r>
            <w:r w:rsidR="001D47E4">
              <w:rPr>
                <w:noProof/>
              </w:rPr>
              <w:t>13</w:t>
            </w:r>
            <w:r w:rsidRPr="001D47E4">
              <w:rPr>
                <w:noProof/>
              </w:rPr>
              <w:t xml:space="preserve">» </w:t>
            </w:r>
            <w:r w:rsidR="001D47E4">
              <w:rPr>
                <w:noProof/>
              </w:rPr>
              <w:t xml:space="preserve">июля </w:t>
            </w:r>
            <w:r w:rsidR="00CF06BE" w:rsidRPr="001D47E4">
              <w:rPr>
                <w:noProof/>
              </w:rPr>
              <w:t>2021</w:t>
            </w:r>
            <w:r w:rsidR="006B6C51" w:rsidRPr="001D47E4">
              <w:t xml:space="preserve"> года </w:t>
            </w:r>
            <w:r w:rsidR="001D47E4">
              <w:t>17</w:t>
            </w:r>
            <w:bookmarkStart w:id="0" w:name="_GoBack"/>
            <w:bookmarkEnd w:id="0"/>
            <w:r w:rsidR="00A46A08" w:rsidRPr="001D47E4">
              <w:t>:00</w:t>
            </w:r>
            <w:r w:rsidR="00D557A4" w:rsidRPr="001D47E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1D47E4" w:rsidRDefault="00D65CCC" w:rsidP="007A3E81">
            <w:pPr>
              <w:pStyle w:val="ad"/>
              <w:rPr>
                <w:sz w:val="24"/>
              </w:rPr>
            </w:pPr>
            <w:r w:rsidRPr="001D47E4">
              <w:t>Не ранее 10 (десяти) и не позднее 20 (двадцати) календарных дней с даты размещения в ЕИС 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по форме </w:t>
            </w:r>
            <w:r w:rsidRPr="000A7BF5">
              <w:rPr>
                <w:noProof/>
                <w:highlight w:val="lightGray"/>
              </w:rPr>
              <w:lastRenderedPageBreak/>
              <w:t>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134955" w:rsidP="007A3E81">
            <w:pPr>
              <w:rPr>
                <w:highlight w:val="yellow"/>
              </w:rPr>
            </w:pPr>
            <w:r>
              <w:rPr>
                <w:highlight w:val="yellow"/>
              </w:rPr>
              <w:t>30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134955" w:rsidP="007A3E81">
            <w:pPr>
              <w:rPr>
                <w:highlight w:val="yellow"/>
              </w:rPr>
            </w:pPr>
            <w:r>
              <w:rPr>
                <w:highlight w:val="yellow"/>
              </w:rPr>
              <w:t>20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134955" w:rsidP="007A3E81">
            <w:pPr>
              <w:rPr>
                <w:highlight w:val="yellow"/>
              </w:rPr>
            </w:pPr>
            <w:r>
              <w:rPr>
                <w:highlight w:val="yellow"/>
                <w:lang w:val="en-US"/>
              </w:rPr>
              <w:t>30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134955" w:rsidP="007A3E81">
            <w:pPr>
              <w:rPr>
                <w:highlight w:val="yellow"/>
              </w:rPr>
            </w:pPr>
            <w:r>
              <w:rPr>
                <w:highlight w:val="yellow"/>
                <w:lang w:val="en-US"/>
              </w:rPr>
              <w:t>20</w:t>
            </w:r>
            <w:r w:rsidR="00D65CCC" w:rsidRPr="00491FB4">
              <w:rPr>
                <w:highlight w:val="yellow"/>
              </w:rPr>
              <w:t>%</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w:t>
            </w:r>
            <w:r w:rsidRPr="00713AA6">
              <w:lastRenderedPageBreak/>
              <w:t>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lastRenderedPageBreak/>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lastRenderedPageBreak/>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lastRenderedPageBreak/>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4EB" w:rsidRDefault="00D514EB">
      <w:r>
        <w:separator/>
      </w:r>
    </w:p>
    <w:p w:rsidR="00D514EB" w:rsidRDefault="00D514EB"/>
  </w:endnote>
  <w:endnote w:type="continuationSeparator" w:id="0">
    <w:p w:rsidR="00D514EB" w:rsidRDefault="00D514EB">
      <w:r>
        <w:continuationSeparator/>
      </w:r>
    </w:p>
    <w:p w:rsidR="00D514EB" w:rsidRDefault="00D514EB"/>
  </w:endnote>
  <w:endnote w:type="continuationNotice" w:id="1">
    <w:p w:rsidR="00D514EB" w:rsidRDefault="00D51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B" w:rsidRPr="00311D38" w:rsidRDefault="00D514EB" w:rsidP="00311D38">
    <w:pPr>
      <w:jc w:val="right"/>
    </w:pPr>
    <w:r w:rsidRPr="00311D38">
      <w:t xml:space="preserve">стр. </w:t>
    </w:r>
    <w:r w:rsidRPr="00311D38">
      <w:fldChar w:fldCharType="begin"/>
    </w:r>
    <w:r w:rsidRPr="00311D38">
      <w:instrText xml:space="preserve"> PAGE </w:instrText>
    </w:r>
    <w:r w:rsidRPr="00311D38">
      <w:fldChar w:fldCharType="separate"/>
    </w:r>
    <w:r w:rsidR="001D47E4">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47E4">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B" w:rsidRDefault="00D514EB" w:rsidP="00465466">
    <w:pPr>
      <w:jc w:val="right"/>
    </w:pPr>
    <w:r w:rsidRPr="00311D38">
      <w:t xml:space="preserve">стр. </w:t>
    </w:r>
    <w:r w:rsidRPr="00311D38">
      <w:fldChar w:fldCharType="begin"/>
    </w:r>
    <w:r w:rsidRPr="00311D38">
      <w:instrText xml:space="preserve"> PAGE </w:instrText>
    </w:r>
    <w:r w:rsidRPr="00311D38">
      <w:fldChar w:fldCharType="separate"/>
    </w:r>
    <w:r w:rsidR="001D47E4">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47E4">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B" w:rsidRPr="00311D38" w:rsidRDefault="00D514EB" w:rsidP="00F556D4">
    <w:pPr>
      <w:jc w:val="right"/>
    </w:pPr>
    <w:r w:rsidRPr="00311D38">
      <w:t xml:space="preserve">стр. </w:t>
    </w:r>
    <w:r w:rsidRPr="00311D38">
      <w:fldChar w:fldCharType="begin"/>
    </w:r>
    <w:r w:rsidRPr="00311D38">
      <w:instrText xml:space="preserve"> PAGE </w:instrText>
    </w:r>
    <w:r w:rsidRPr="00311D38">
      <w:fldChar w:fldCharType="separate"/>
    </w:r>
    <w:r w:rsidR="001D47E4">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47E4">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B" w:rsidRPr="00311D38" w:rsidRDefault="00D514EB" w:rsidP="00F556D4">
    <w:pPr>
      <w:jc w:val="right"/>
    </w:pPr>
    <w:r w:rsidRPr="00311D38">
      <w:t xml:space="preserve">стр. </w:t>
    </w:r>
    <w:r w:rsidRPr="00311D38">
      <w:fldChar w:fldCharType="begin"/>
    </w:r>
    <w:r w:rsidRPr="00311D38">
      <w:instrText xml:space="preserve"> PAGE </w:instrText>
    </w:r>
    <w:r w:rsidRPr="00311D38">
      <w:fldChar w:fldCharType="separate"/>
    </w:r>
    <w:r w:rsidR="001D47E4">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47E4">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B" w:rsidRDefault="00D514EB" w:rsidP="00465466">
    <w:pPr>
      <w:jc w:val="right"/>
    </w:pPr>
    <w:r w:rsidRPr="00311D38">
      <w:t xml:space="preserve">стр. </w:t>
    </w:r>
    <w:r w:rsidRPr="00311D38">
      <w:fldChar w:fldCharType="begin"/>
    </w:r>
    <w:r w:rsidRPr="00311D38">
      <w:instrText xml:space="preserve"> PAGE </w:instrText>
    </w:r>
    <w:r w:rsidRPr="00311D38">
      <w:fldChar w:fldCharType="separate"/>
    </w:r>
    <w:r w:rsidR="001D47E4">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47E4">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4EB" w:rsidRDefault="00D514EB">
      <w:r>
        <w:separator/>
      </w:r>
    </w:p>
    <w:p w:rsidR="00D514EB" w:rsidRDefault="00D514EB"/>
  </w:footnote>
  <w:footnote w:type="continuationSeparator" w:id="0">
    <w:p w:rsidR="00D514EB" w:rsidRDefault="00D514EB">
      <w:r>
        <w:continuationSeparator/>
      </w:r>
    </w:p>
    <w:p w:rsidR="00D514EB" w:rsidRDefault="00D514EB"/>
  </w:footnote>
  <w:footnote w:type="continuationNotice" w:id="1">
    <w:p w:rsidR="00D514EB" w:rsidRDefault="00D514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B" w:rsidRPr="001C5431" w:rsidRDefault="00D514E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955"/>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7E4"/>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467"/>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5DEC"/>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1AC0"/>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1085"/>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1C6"/>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2771"/>
    <w:rsid w:val="009B365A"/>
    <w:rsid w:val="009B4499"/>
    <w:rsid w:val="009B4D25"/>
    <w:rsid w:val="009B79E0"/>
    <w:rsid w:val="009C16D5"/>
    <w:rsid w:val="009C2C1E"/>
    <w:rsid w:val="009C3322"/>
    <w:rsid w:val="009C341D"/>
    <w:rsid w:val="009C36E9"/>
    <w:rsid w:val="009C39F2"/>
    <w:rsid w:val="009C4DEC"/>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66E"/>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4EB"/>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0DF8"/>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967"/>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0F6AC81-FCAA-4058-AAA0-5F9832EA27D7}">
  <ds:schemaRefs>
    <ds:schemaRef ds:uri="http://schemas.openxmlformats.org/officeDocument/2006/bibliography"/>
  </ds:schemaRefs>
</ds:datastoreItem>
</file>

<file path=customXml/itemProps6.xml><?xml version="1.0" encoding="utf-8"?>
<ds:datastoreItem xmlns:ds="http://schemas.openxmlformats.org/officeDocument/2006/customXml" ds:itemID="{B648BAA5-0C72-4980-9249-74F57B02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66</Pages>
  <Words>20829</Words>
  <Characters>152867</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2021-06-28T05:54:00Z</dcterms:created>
  <dcterms:modified xsi:type="dcterms:W3CDTF">2021-06-28T08:08:00Z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