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подрядчика для выполнения работ</w:t>
      </w:r>
      <w:r w:rsidR="00410C46">
        <w:rPr>
          <w:b/>
          <w:caps/>
          <w:sz w:val="21"/>
          <w:szCs w:val="21"/>
        </w:rPr>
        <w:t xml:space="preserve"> </w:t>
      </w:r>
      <w:r w:rsidR="00410C46" w:rsidRPr="00410C46">
        <w:rPr>
          <w:b/>
          <w:caps/>
          <w:sz w:val="21"/>
          <w:szCs w:val="21"/>
        </w:rPr>
        <w:t>по испытаниям сетей электроснабжения и проверки срабатывания защиты систем электроснабжения объектов предприятия</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B543C7" w:rsidRPr="00B543C7">
        <w:rPr>
          <w:b/>
          <w:caps/>
          <w:sz w:val="21"/>
          <w:szCs w:val="21"/>
        </w:rPr>
        <w:t>1408</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w:t>
      </w:r>
      <w:proofErr w:type="spellStart"/>
      <w:r w:rsidR="00DD6D19">
        <w:rPr>
          <w:sz w:val="20"/>
          <w:szCs w:val="20"/>
        </w:rPr>
        <w:t>Челябинскгоргаз</w:t>
      </w:r>
      <w:proofErr w:type="spellEnd"/>
      <w:r w:rsidR="00DD6D19">
        <w:rPr>
          <w:sz w:val="20"/>
          <w:szCs w:val="20"/>
        </w:rPr>
        <w:t>»</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w:t>
      </w:r>
      <w:proofErr w:type="spellStart"/>
      <w:r w:rsidR="00DD6D19">
        <w:rPr>
          <w:sz w:val="20"/>
          <w:szCs w:val="20"/>
        </w:rPr>
        <w:t>Челябинскгоргаз</w:t>
      </w:r>
      <w:proofErr w:type="spellEnd"/>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w:t>
      </w:r>
      <w:proofErr w:type="spellStart"/>
      <w:r w:rsidR="00E137FD">
        <w:rPr>
          <w:b/>
          <w:sz w:val="20"/>
          <w:szCs w:val="20"/>
        </w:rPr>
        <w:t>Челябинскгоргаз</w:t>
      </w:r>
      <w:proofErr w:type="spellEnd"/>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w:t>
      </w:r>
      <w:proofErr w:type="gramStart"/>
      <w:r w:rsidR="00DB3D96" w:rsidRPr="00F12108">
        <w:rPr>
          <w:rFonts w:eastAsia="Times New Roman"/>
          <w:b w:val="0"/>
          <w:bCs w:val="0"/>
          <w:szCs w:val="20"/>
        </w:rPr>
        <w:t xml:space="preserve">18.07.2011 </w:t>
      </w:r>
      <w:r w:rsidRPr="00F12108">
        <w:rPr>
          <w:rFonts w:eastAsia="Times New Roman"/>
          <w:b w:val="0"/>
          <w:bCs w:val="0"/>
          <w:szCs w:val="20"/>
        </w:rPr>
        <w:t xml:space="preserve"> №</w:t>
      </w:r>
      <w:proofErr w:type="gramEnd"/>
      <w:r w:rsidRPr="00F12108">
        <w:rPr>
          <w:rFonts w:eastAsia="Times New Roman"/>
          <w:b w:val="0"/>
          <w:bCs w:val="0"/>
          <w:szCs w:val="20"/>
        </w:rPr>
        <w:t xml:space="preserve">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w:t>
      </w:r>
      <w:proofErr w:type="spellStart"/>
      <w:r w:rsidR="00F66E52">
        <w:rPr>
          <w:rFonts w:eastAsia="Times New Roman"/>
          <w:b w:val="0"/>
          <w:bCs w:val="0"/>
          <w:szCs w:val="20"/>
        </w:rPr>
        <w:t>Челябинскгоргаз</w:t>
      </w:r>
      <w:proofErr w:type="spellEnd"/>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w:t>
      </w:r>
      <w:proofErr w:type="spellStart"/>
      <w:r w:rsidR="00BD3D45" w:rsidRPr="00F12108">
        <w:rPr>
          <w:sz w:val="20"/>
          <w:szCs w:val="20"/>
        </w:rPr>
        <w:t>Неприостановление</w:t>
      </w:r>
      <w:proofErr w:type="spellEnd"/>
      <w:r w:rsidR="00BD3D45" w:rsidRPr="00F12108">
        <w:rPr>
          <w:sz w:val="20"/>
          <w:szCs w:val="20"/>
        </w:rPr>
        <w:t xml:space="preserve">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proofErr w:type="gramStart"/>
      <w:r w:rsidR="00A7339A" w:rsidRPr="00F12108">
        <w:rPr>
          <w:i/>
          <w:sz w:val="20"/>
          <w:szCs w:val="20"/>
        </w:rPr>
        <w:t xml:space="preserve">содержится </w:t>
      </w:r>
      <w:r w:rsidRPr="00F12108">
        <w:rPr>
          <w:i/>
          <w:sz w:val="20"/>
          <w:szCs w:val="20"/>
        </w:rPr>
        <w:t xml:space="preserve"> в</w:t>
      </w:r>
      <w:proofErr w:type="gramEnd"/>
      <w:r w:rsidRPr="00F12108">
        <w:rPr>
          <w:i/>
          <w:sz w:val="20"/>
          <w:szCs w:val="20"/>
        </w:rPr>
        <w:t xml:space="preserve">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при соблюдении им следующих </w:t>
      </w:r>
      <w:proofErr w:type="gramStart"/>
      <w:r w:rsidRPr="00F12108">
        <w:rPr>
          <w:sz w:val="20"/>
          <w:szCs w:val="20"/>
        </w:rPr>
        <w:t>обязательных  требований</w:t>
      </w:r>
      <w:proofErr w:type="gramEnd"/>
      <w:r w:rsidRPr="00F12108">
        <w:rPr>
          <w:sz w:val="20"/>
          <w:szCs w:val="20"/>
        </w:rPr>
        <w:t>:</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w:t>
      </w:r>
      <w:proofErr w:type="gramStart"/>
      <w:r w:rsidRPr="00F12108">
        <w:rPr>
          <w:sz w:val="20"/>
          <w:szCs w:val="20"/>
        </w:rPr>
        <w:t>в объемах</w:t>
      </w:r>
      <w:proofErr w:type="gramEnd"/>
      <w:r w:rsidRPr="00F12108">
        <w:rPr>
          <w:sz w:val="20"/>
          <w:szCs w:val="20"/>
        </w:rPr>
        <w:t xml:space="preserve">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w:t>
      </w:r>
      <w:proofErr w:type="gramStart"/>
      <w:r w:rsidRPr="00F12108">
        <w:rPr>
          <w:sz w:val="20"/>
          <w:szCs w:val="20"/>
        </w:rPr>
        <w:t>В</w:t>
      </w:r>
      <w:proofErr w:type="gramEnd"/>
      <w:r w:rsidRPr="00F12108">
        <w:rPr>
          <w:sz w:val="20"/>
          <w:szCs w:val="20"/>
        </w:rPr>
        <w:t xml:space="preserve">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субподрядчикам/субпоставщикам</w:t>
      </w:r>
      <w:proofErr w:type="gramStart"/>
      <w:r w:rsidR="006C41FD">
        <w:rPr>
          <w:sz w:val="20"/>
          <w:szCs w:val="20"/>
        </w:rPr>
        <w:t xml:space="preserve">), </w:t>
      </w:r>
      <w:r w:rsidRPr="00F12108">
        <w:rPr>
          <w:sz w:val="20"/>
          <w:szCs w:val="20"/>
        </w:rPr>
        <w:t xml:space="preserve"> могут</w:t>
      </w:r>
      <w:proofErr w:type="gramEnd"/>
      <w:r w:rsidRPr="00F12108">
        <w:rPr>
          <w:sz w:val="20"/>
          <w:szCs w:val="20"/>
        </w:rPr>
        <w:t xml:space="preserve">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EF14E3">
        <w:rPr>
          <w:sz w:val="20"/>
          <w:szCs w:val="20"/>
        </w:rPr>
        <w:t xml:space="preserve">) требованиям, установленным </w:t>
      </w:r>
      <w:r w:rsidR="00B902C3" w:rsidRPr="00F12108">
        <w:rPr>
          <w:sz w:val="20"/>
          <w:szCs w:val="20"/>
        </w:rPr>
        <w:t>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самосто</w:t>
      </w:r>
      <w:r w:rsidR="00EF14E3">
        <w:rPr>
          <w:sz w:val="20"/>
          <w:szCs w:val="20"/>
        </w:rPr>
        <w:t>ятельно</w:t>
      </w:r>
      <w:r w:rsidRPr="00F12108">
        <w:rPr>
          <w:sz w:val="20"/>
          <w:szCs w:val="20"/>
        </w:rPr>
        <w:t xml:space="preserve"> несет все расходы, связанные с подготовкой и подачей Заявки на участие в </w:t>
      </w:r>
      <w:r w:rsidR="00D31F77" w:rsidRPr="00F12108">
        <w:rPr>
          <w:sz w:val="20"/>
          <w:szCs w:val="20"/>
        </w:rPr>
        <w:t xml:space="preserve">маркетинговых </w:t>
      </w:r>
      <w:proofErr w:type="gramStart"/>
      <w:r w:rsidR="00D31F77" w:rsidRPr="00F12108">
        <w:rPr>
          <w:sz w:val="20"/>
          <w:szCs w:val="20"/>
        </w:rPr>
        <w:t>исследованиях</w:t>
      </w:r>
      <w:r w:rsidRPr="00F12108">
        <w:rPr>
          <w:sz w:val="20"/>
          <w:szCs w:val="20"/>
        </w:rPr>
        <w:t>,  участием</w:t>
      </w:r>
      <w:proofErr w:type="gramEnd"/>
      <w:r w:rsidRPr="00F12108">
        <w:rPr>
          <w:sz w:val="20"/>
          <w:szCs w:val="20"/>
        </w:rPr>
        <w:t xml:space="preserve">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1904E6">
        <w:rPr>
          <w:sz w:val="20"/>
          <w:szCs w:val="20"/>
        </w:rPr>
        <w:t xml:space="preserve">и </w:t>
      </w:r>
      <w:r w:rsidR="00BD3D45" w:rsidRPr="00F12108">
        <w:rPr>
          <w:sz w:val="20"/>
          <w:szCs w:val="20"/>
        </w:rPr>
        <w:t xml:space="preserve">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t>
      </w:r>
      <w:proofErr w:type="spellStart"/>
      <w:r w:rsidRPr="00F12108">
        <w:rPr>
          <w:rFonts w:ascii="Times New Roman" w:hAnsi="Times New Roman"/>
          <w:sz w:val="20"/>
          <w:szCs w:val="20"/>
        </w:rPr>
        <w:t>Word</w:t>
      </w:r>
      <w:proofErr w:type="spellEnd"/>
      <w:r w:rsidRPr="00F12108">
        <w:rPr>
          <w:rFonts w:ascii="Times New Roman" w:hAnsi="Times New Roman"/>
          <w:sz w:val="20"/>
          <w:szCs w:val="20"/>
        </w:rPr>
        <w:t xml:space="preserve">, MS </w:t>
      </w:r>
      <w:proofErr w:type="spellStart"/>
      <w:r w:rsidRPr="00F12108">
        <w:rPr>
          <w:rFonts w:ascii="Times New Roman" w:hAnsi="Times New Roman"/>
          <w:sz w:val="20"/>
          <w:szCs w:val="20"/>
        </w:rPr>
        <w:t>Excel</w:t>
      </w:r>
      <w:proofErr w:type="spellEnd"/>
      <w:r w:rsidRPr="00F12108">
        <w:rPr>
          <w:rFonts w:ascii="Times New Roman" w:hAnsi="Times New Roman"/>
          <w:sz w:val="20"/>
          <w:szCs w:val="20"/>
        </w:rPr>
        <w:t xml:space="preserve">,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определяет цену Договора в соответствии с требованиями настоящей Документации и представл</w:t>
      </w:r>
      <w:r w:rsidR="001904E6">
        <w:rPr>
          <w:sz w:val="20"/>
          <w:szCs w:val="20"/>
        </w:rPr>
        <w:t>яет предложение о цене Договора</w:t>
      </w:r>
      <w:r w:rsidRPr="00F12108">
        <w:rPr>
          <w:sz w:val="20"/>
          <w:szCs w:val="20"/>
        </w:rPr>
        <w:t xml:space="preserve">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 xml:space="preserve">маркетинговых </w:t>
      </w:r>
      <w:proofErr w:type="gramStart"/>
      <w:r w:rsidR="00D31F77" w:rsidRPr="00F12108">
        <w:rPr>
          <w:rFonts w:ascii="Times New Roman" w:hAnsi="Times New Roman"/>
          <w:sz w:val="20"/>
          <w:szCs w:val="20"/>
        </w:rPr>
        <w:t>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proofErr w:type="gramEnd"/>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w:t>
      </w:r>
      <w:proofErr w:type="gramStart"/>
      <w:r w:rsidR="002D2523" w:rsidRPr="00F12108">
        <w:rPr>
          <w:sz w:val="20"/>
          <w:szCs w:val="20"/>
        </w:rPr>
        <w:t xml:space="preserve">электронной </w:t>
      </w:r>
      <w:r w:rsidRPr="00F12108">
        <w:rPr>
          <w:sz w:val="20"/>
          <w:szCs w:val="20"/>
        </w:rPr>
        <w:t xml:space="preserve"> площадки</w:t>
      </w:r>
      <w:proofErr w:type="gramEnd"/>
      <w:r w:rsidRPr="00F12108">
        <w:rPr>
          <w:sz w:val="20"/>
          <w:szCs w:val="20"/>
        </w:rPr>
        <w:t xml:space="preserve">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w:t>
      </w:r>
      <w:proofErr w:type="gramStart"/>
      <w:r w:rsidRPr="00F12108">
        <w:rPr>
          <w:sz w:val="20"/>
          <w:szCs w:val="20"/>
        </w:rPr>
        <w:t>услуг</w:t>
      </w:r>
      <w:proofErr w:type="gramEnd"/>
      <w:r w:rsidRPr="00F12108">
        <w:rPr>
          <w:sz w:val="20"/>
          <w:szCs w:val="20"/>
        </w:rPr>
        <w:t xml:space="preserve">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proofErr w:type="gramStart"/>
      <w:r w:rsidR="0061394A" w:rsidRPr="00F12108">
        <w:rPr>
          <w:sz w:val="20"/>
          <w:szCs w:val="20"/>
        </w:rPr>
        <w:t xml:space="preserve">установленную </w:t>
      </w:r>
      <w:r w:rsidRPr="00F12108">
        <w:rPr>
          <w:sz w:val="20"/>
          <w:szCs w:val="20"/>
        </w:rPr>
        <w:t xml:space="preserve"> начальную</w:t>
      </w:r>
      <w:proofErr w:type="gramEnd"/>
      <w:r w:rsidRPr="00F12108">
        <w:rPr>
          <w:sz w:val="20"/>
          <w:szCs w:val="20"/>
        </w:rPr>
        <w:t xml:space="preserve">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w:t>
      </w:r>
      <w:proofErr w:type="gramStart"/>
      <w:r w:rsidR="00914BC1" w:rsidRPr="00F12108">
        <w:rPr>
          <w:sz w:val="20"/>
          <w:szCs w:val="20"/>
        </w:rPr>
        <w:t>принимается  решение</w:t>
      </w:r>
      <w:proofErr w:type="gramEnd"/>
      <w:r w:rsidR="00914BC1" w:rsidRPr="00F12108">
        <w:rPr>
          <w:sz w:val="20"/>
          <w:szCs w:val="20"/>
        </w:rPr>
        <w:t xml:space="preserve">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проводится членами Комиссии в строгом соответствии с критериями и </w:t>
      </w:r>
      <w:proofErr w:type="gramStart"/>
      <w:r w:rsidRPr="00F12108">
        <w:rPr>
          <w:sz w:val="20"/>
          <w:szCs w:val="20"/>
        </w:rPr>
        <w:t>порядком,  предусмотренными</w:t>
      </w:r>
      <w:proofErr w:type="gramEnd"/>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w:t>
      </w:r>
      <w:proofErr w:type="gramStart"/>
      <w:r w:rsidRPr="00F12108">
        <w:rPr>
          <w:sz w:val="20"/>
          <w:szCs w:val="20"/>
        </w:rPr>
        <w:t>сотрудники  профильных</w:t>
      </w:r>
      <w:proofErr w:type="gramEnd"/>
      <w:r w:rsidRPr="00F12108">
        <w:rPr>
          <w:sz w:val="20"/>
          <w:szCs w:val="20"/>
        </w:rPr>
        <w:t xml:space="preserve">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xml:space="preserve">. Каждый член Комиссии и </w:t>
      </w:r>
      <w:proofErr w:type="gramStart"/>
      <w:r w:rsidR="00BD3D45" w:rsidRPr="00F12108">
        <w:rPr>
          <w:sz w:val="20"/>
          <w:szCs w:val="20"/>
        </w:rPr>
        <w:t>привлеченный  специалист</w:t>
      </w:r>
      <w:proofErr w:type="gramEnd"/>
      <w:r w:rsidR="00BD3D45" w:rsidRPr="00F12108">
        <w:rPr>
          <w:sz w:val="20"/>
          <w:szCs w:val="20"/>
        </w:rPr>
        <w:t xml:space="preserve">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w:t>
      </w:r>
      <w:proofErr w:type="gramStart"/>
      <w:r w:rsidRPr="00F12108">
        <w:rPr>
          <w:sz w:val="20"/>
          <w:szCs w:val="20"/>
        </w:rPr>
        <w:t>Заказчику</w:t>
      </w:r>
      <w:proofErr w:type="gramEnd"/>
      <w:r w:rsidRPr="00F12108">
        <w:rPr>
          <w:sz w:val="20"/>
          <w:szCs w:val="20"/>
        </w:rPr>
        <w:t xml:space="preserve">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001904E6">
        <w:rPr>
          <w:sz w:val="20"/>
          <w:szCs w:val="20"/>
        </w:rPr>
        <w:t>недостоверных сведений</w:t>
      </w:r>
      <w:r w:rsidRPr="00F12108">
        <w:rPr>
          <w:sz w:val="20"/>
          <w:szCs w:val="20"/>
        </w:rPr>
        <w:t xml:space="preserve">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w:t>
      </w:r>
      <w:proofErr w:type="gramStart"/>
      <w:r w:rsidRPr="00F12108">
        <w:rPr>
          <w:sz w:val="20"/>
          <w:szCs w:val="20"/>
        </w:rPr>
        <w:t xml:space="preserve">в </w:t>
      </w:r>
      <w:r w:rsidR="00D31F77" w:rsidRPr="00F12108">
        <w:rPr>
          <w:sz w:val="20"/>
          <w:szCs w:val="20"/>
        </w:rPr>
        <w:t>маркетинговых исследованиях</w:t>
      </w:r>
      <w:proofErr w:type="gramEnd"/>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w:t>
            </w:r>
            <w:proofErr w:type="spellStart"/>
            <w:r w:rsidRPr="004A31F0">
              <w:rPr>
                <w:sz w:val="20"/>
                <w:szCs w:val="20"/>
              </w:rPr>
              <w:t>Челябинскгоргаз</w:t>
            </w:r>
            <w:proofErr w:type="spellEnd"/>
            <w:r w:rsidRPr="004A31F0">
              <w:rPr>
                <w:sz w:val="20"/>
                <w:szCs w:val="20"/>
              </w:rPr>
              <w:t>»</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465DC6"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w:t>
            </w:r>
            <w:r w:rsidR="009504EF">
              <w:rPr>
                <w:sz w:val="20"/>
                <w:szCs w:val="20"/>
              </w:rPr>
              <w:t>ормационно-телекоммуникационной</w:t>
            </w:r>
            <w:r w:rsidRPr="003F2044">
              <w:rPr>
                <w:sz w:val="20"/>
                <w:szCs w:val="20"/>
              </w:rPr>
              <w:t xml:space="preserve">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BD3D45"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BD3D45">
            <w:pPr>
              <w:tabs>
                <w:tab w:val="left" w:pos="10260"/>
              </w:tabs>
              <w:autoSpaceDE w:val="0"/>
              <w:autoSpaceDN w:val="0"/>
              <w:adjustRightInd w:val="0"/>
              <w:jc w:val="both"/>
              <w:outlineLvl w:val="0"/>
              <w:rPr>
                <w:sz w:val="20"/>
                <w:szCs w:val="20"/>
              </w:rPr>
            </w:pPr>
            <w:r w:rsidRPr="003F2044">
              <w:rPr>
                <w:sz w:val="20"/>
                <w:szCs w:val="20"/>
              </w:rPr>
              <w:t xml:space="preserve">Предмет </w:t>
            </w:r>
            <w:r w:rsidR="00D31F77" w:rsidRPr="003F2044">
              <w:rPr>
                <w:sz w:val="20"/>
                <w:szCs w:val="20"/>
              </w:rPr>
              <w:t>маркетинговых исследований</w:t>
            </w:r>
          </w:p>
          <w:p w:rsidR="00BD3D45" w:rsidRPr="003F2044"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BD3D45" w:rsidRPr="00A93DBC" w:rsidRDefault="00410C46" w:rsidP="00D87239">
            <w:pPr>
              <w:jc w:val="both"/>
              <w:rPr>
                <w:sz w:val="20"/>
                <w:szCs w:val="20"/>
              </w:rPr>
            </w:pPr>
            <w:r w:rsidRPr="00410C46">
              <w:t>Выполнение работ по испытаниям сетей электроснабжения и проверки срабатывания защиты систем электроснабжения объектов предприятия</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410C46" w:rsidP="009D51D6">
            <w:pPr>
              <w:jc w:val="both"/>
              <w:rPr>
                <w:sz w:val="20"/>
                <w:szCs w:val="20"/>
              </w:rPr>
            </w:pPr>
            <w:r w:rsidRPr="00410C46">
              <w:rPr>
                <w:color w:val="000000" w:themeColor="text1"/>
              </w:rPr>
              <w:t>152 028,00</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410C46" w:rsidP="009D51D6">
            <w:pPr>
              <w:jc w:val="both"/>
              <w:rPr>
                <w:sz w:val="20"/>
                <w:szCs w:val="20"/>
              </w:rPr>
            </w:pPr>
            <w:r w:rsidRPr="00410C46">
              <w:rPr>
                <w:szCs w:val="20"/>
              </w:rPr>
              <w:t>126 690,00</w:t>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410C46" w:rsidRPr="00A15913" w:rsidTr="003804F3">
              <w:tc>
                <w:tcPr>
                  <w:tcW w:w="454" w:type="dxa"/>
                </w:tcPr>
                <w:p w:rsidR="00410C46" w:rsidRPr="00A15913" w:rsidRDefault="00410C46" w:rsidP="00410C46">
                  <w:pPr>
                    <w:ind w:left="-57" w:right="-57"/>
                    <w:rPr>
                      <w:sz w:val="16"/>
                      <w:szCs w:val="16"/>
                    </w:rPr>
                  </w:pPr>
                  <w:r w:rsidRPr="00A15913">
                    <w:rPr>
                      <w:sz w:val="16"/>
                      <w:szCs w:val="16"/>
                    </w:rPr>
                    <w:t>1.</w:t>
                  </w:r>
                </w:p>
              </w:tc>
              <w:tc>
                <w:tcPr>
                  <w:tcW w:w="2715" w:type="dxa"/>
                </w:tcPr>
                <w:p w:rsidR="00410C46" w:rsidRPr="00A15913" w:rsidRDefault="00410C46" w:rsidP="00410C46">
                  <w:pPr>
                    <w:rPr>
                      <w:sz w:val="20"/>
                      <w:szCs w:val="20"/>
                    </w:rPr>
                  </w:pPr>
                  <w:r w:rsidRPr="00E406E3">
                    <w:t>Выполнение работ по испытаниям сетей электроснабжения и проверки срабатывания защиты систем электроснабжения объектов предприятия</w:t>
                  </w:r>
                </w:p>
              </w:tc>
              <w:tc>
                <w:tcPr>
                  <w:tcW w:w="1559" w:type="dxa"/>
                  <w:vAlign w:val="center"/>
                </w:tcPr>
                <w:p w:rsidR="00410C46" w:rsidRPr="00A15913" w:rsidRDefault="00410C46" w:rsidP="00410C46">
                  <w:pPr>
                    <w:ind w:left="-57" w:right="-57"/>
                    <w:jc w:val="center"/>
                    <w:rPr>
                      <w:sz w:val="16"/>
                      <w:szCs w:val="16"/>
                    </w:rPr>
                  </w:pPr>
                  <w:r w:rsidRPr="00E406E3">
                    <w:rPr>
                      <w:color w:val="000000" w:themeColor="text1"/>
                    </w:rPr>
                    <w:t>152 028,00</w:t>
                  </w:r>
                </w:p>
              </w:tc>
              <w:tc>
                <w:tcPr>
                  <w:tcW w:w="1901" w:type="dxa"/>
                  <w:vAlign w:val="center"/>
                </w:tcPr>
                <w:p w:rsidR="00410C46" w:rsidRPr="0039333B" w:rsidRDefault="00410C46" w:rsidP="00410C46">
                  <w:pPr>
                    <w:jc w:val="center"/>
                    <w:rPr>
                      <w:sz w:val="20"/>
                      <w:szCs w:val="20"/>
                    </w:rPr>
                  </w:pPr>
                  <w:r w:rsidRPr="00E406E3">
                    <w:rPr>
                      <w:color w:val="000000" w:themeColor="text1"/>
                    </w:rPr>
                    <w:t>126 690,00</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326D38" w:rsidP="009D51D6">
            <w:pPr>
              <w:widowControl w:val="0"/>
              <w:autoSpaceDE w:val="0"/>
              <w:autoSpaceDN w:val="0"/>
              <w:adjustRightInd w:val="0"/>
              <w:spacing w:line="0" w:lineRule="atLeast"/>
              <w:ind w:right="11"/>
              <w:jc w:val="both"/>
              <w:rPr>
                <w:i/>
                <w:sz w:val="20"/>
                <w:szCs w:val="20"/>
              </w:rPr>
            </w:pPr>
            <w:r w:rsidRPr="007F7F1E">
              <w:rPr>
                <w:noProof/>
                <w:sz w:val="20"/>
              </w:rPr>
              <w:t>Заказчиком производится расчет за весь объем выполненных работ в течение 15 рабочих дней от даты подписания Сторонами акта выполненных работ, путем перчесления денежных средств на расчетный счет Подрядчика.</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lastRenderedPageBreak/>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 xml:space="preserve">1) наименование Участника маркетинговых исследований, сведения об организационно-правовой форме, о месте нахождения, почтовый адрес           </w:t>
            </w:r>
            <w:proofErr w:type="gramStart"/>
            <w:r w:rsidRPr="00A15913">
              <w:rPr>
                <w:sz w:val="20"/>
                <w:szCs w:val="20"/>
              </w:rPr>
              <w:t xml:space="preserve">   (</w:t>
            </w:r>
            <w:proofErr w:type="gramEnd"/>
            <w:r w:rsidRPr="00A15913">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A15913">
              <w:rPr>
                <w:sz w:val="20"/>
                <w:szCs w:val="20"/>
              </w:rPr>
              <w:t>pdf</w:t>
            </w:r>
            <w:proofErr w:type="spellEnd"/>
            <w:r w:rsidRPr="00A15913">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w:t>
            </w:r>
            <w:proofErr w:type="gramStart"/>
            <w:r w:rsidRPr="00A15913">
              <w:rPr>
                <w:sz w:val="20"/>
                <w:szCs w:val="20"/>
              </w:rPr>
              <w:t>Организации)  –</w:t>
            </w:r>
            <w:proofErr w:type="gramEnd"/>
            <w:r w:rsidRPr="00A15913">
              <w:rPr>
                <w:sz w:val="20"/>
                <w:szCs w:val="20"/>
              </w:rPr>
              <w:t xml:space="preserve"> юридического лица, содержащиеся в выписке 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lastRenderedPageBreak/>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 xml:space="preserve">Заявка на участие </w:t>
            </w:r>
            <w:proofErr w:type="gramStart"/>
            <w:r w:rsidRPr="00A15913">
              <w:rPr>
                <w:sz w:val="20"/>
                <w:szCs w:val="20"/>
              </w:rPr>
              <w:t>в  маркетинговых</w:t>
            </w:r>
            <w:proofErr w:type="gramEnd"/>
            <w:r w:rsidRPr="00A15913">
              <w:rPr>
                <w:sz w:val="20"/>
                <w:szCs w:val="20"/>
              </w:rPr>
              <w:t xml:space="preserve">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Участник маркетинговых исследований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9504EF" w:rsidRDefault="009504EF" w:rsidP="009D51D6">
            <w:pPr>
              <w:widowControl w:val="0"/>
              <w:suppressLineNumbers/>
              <w:suppressAutoHyphens/>
              <w:jc w:val="both"/>
              <w:rPr>
                <w:b/>
                <w:sz w:val="20"/>
                <w:szCs w:val="20"/>
              </w:rPr>
            </w:pPr>
            <w:r w:rsidRPr="009504EF">
              <w:rPr>
                <w:b/>
                <w:sz w:val="20"/>
                <w:szCs w:val="20"/>
              </w:rPr>
              <w:t>08.11.2021</w:t>
            </w:r>
          </w:p>
          <w:p w:rsidR="009D51D6" w:rsidRPr="009504EF" w:rsidRDefault="009D51D6" w:rsidP="001E65B5">
            <w:pPr>
              <w:tabs>
                <w:tab w:val="left" w:pos="10260"/>
              </w:tabs>
              <w:autoSpaceDE w:val="0"/>
              <w:autoSpaceDN w:val="0"/>
              <w:adjustRightInd w:val="0"/>
              <w:jc w:val="both"/>
              <w:outlineLvl w:val="0"/>
              <w:rPr>
                <w:sz w:val="20"/>
                <w:szCs w:val="20"/>
                <w:highlight w:val="yellow"/>
              </w:rPr>
            </w:pPr>
            <w:r w:rsidRPr="009504EF">
              <w:rPr>
                <w:sz w:val="20"/>
                <w:szCs w:val="20"/>
              </w:rPr>
              <w:t>18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5C4180" w:rsidRPr="00A15913" w:rsidRDefault="005C4180" w:rsidP="005C4180">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5C4180" w:rsidRPr="00A15913" w:rsidRDefault="005C4180" w:rsidP="005C4180">
            <w:pPr>
              <w:tabs>
                <w:tab w:val="left" w:pos="10260"/>
              </w:tabs>
              <w:autoSpaceDE w:val="0"/>
              <w:autoSpaceDN w:val="0"/>
              <w:adjustRightInd w:val="0"/>
              <w:jc w:val="both"/>
              <w:outlineLvl w:val="0"/>
              <w:rPr>
                <w:b/>
                <w:sz w:val="20"/>
                <w:szCs w:val="20"/>
              </w:rPr>
            </w:pPr>
            <w:bookmarkStart w:id="55" w:name="дата_начала_подачи_заявок"/>
            <w:r w:rsidRPr="005C7229">
              <w:rPr>
                <w:b/>
                <w:sz w:val="20"/>
                <w:szCs w:val="20"/>
              </w:rPr>
              <w:t>26.10.2021 00.00</w:t>
            </w:r>
          </w:p>
          <w:bookmarkEnd w:id="55"/>
          <w:p w:rsidR="005C4180" w:rsidRPr="00A15913" w:rsidRDefault="005C4180" w:rsidP="005C4180">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5C4180" w:rsidRPr="00A15913" w:rsidRDefault="005C4180" w:rsidP="005C4180">
            <w:pPr>
              <w:tabs>
                <w:tab w:val="left" w:pos="10260"/>
              </w:tabs>
              <w:autoSpaceDE w:val="0"/>
              <w:autoSpaceDN w:val="0"/>
              <w:adjustRightInd w:val="0"/>
              <w:jc w:val="both"/>
              <w:outlineLvl w:val="0"/>
              <w:rPr>
                <w:b/>
                <w:sz w:val="20"/>
                <w:szCs w:val="20"/>
              </w:rPr>
            </w:pPr>
            <w:bookmarkStart w:id="56" w:name="дата_окончания_подачи_заявок"/>
            <w:r w:rsidRPr="005C7229">
              <w:rPr>
                <w:b/>
                <w:sz w:val="20"/>
                <w:szCs w:val="20"/>
              </w:rPr>
              <w:t>08.11.2021</w:t>
            </w:r>
          </w:p>
          <w:p w:rsidR="009D51D6" w:rsidRPr="00A15913" w:rsidRDefault="005C4180" w:rsidP="005C4180">
            <w:pPr>
              <w:tabs>
                <w:tab w:val="left" w:pos="10260"/>
              </w:tabs>
              <w:autoSpaceDE w:val="0"/>
              <w:autoSpaceDN w:val="0"/>
              <w:adjustRightInd w:val="0"/>
              <w:jc w:val="both"/>
              <w:outlineLvl w:val="0"/>
              <w:rPr>
                <w:b/>
                <w:sz w:val="20"/>
                <w:szCs w:val="20"/>
              </w:rPr>
            </w:pPr>
            <w:r>
              <w:rPr>
                <w:sz w:val="20"/>
                <w:szCs w:val="20"/>
              </w:rPr>
              <w:t>23 часов 59 минут (по челябинскому</w:t>
            </w:r>
            <w:r w:rsidRPr="00A15913">
              <w:rPr>
                <w:sz w:val="20"/>
                <w:szCs w:val="20"/>
              </w:rPr>
              <w:t xml:space="preserve"> времени).</w:t>
            </w:r>
            <w:bookmarkEnd w:id="56"/>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5C4180" w:rsidRPr="00A15913" w:rsidRDefault="005C4180" w:rsidP="005C4180">
            <w:pPr>
              <w:tabs>
                <w:tab w:val="left" w:pos="10260"/>
              </w:tabs>
              <w:autoSpaceDE w:val="0"/>
              <w:autoSpaceDN w:val="0"/>
              <w:adjustRightInd w:val="0"/>
              <w:jc w:val="both"/>
              <w:outlineLvl w:val="0"/>
              <w:rPr>
                <w:b/>
                <w:sz w:val="20"/>
                <w:szCs w:val="20"/>
              </w:rPr>
            </w:pPr>
            <w:r w:rsidRPr="00DA7D5A">
              <w:rPr>
                <w:b/>
                <w:sz w:val="20"/>
                <w:szCs w:val="20"/>
              </w:rPr>
              <w:t>09.11.2021</w:t>
            </w:r>
          </w:p>
          <w:p w:rsidR="005C4180" w:rsidRPr="00A15913" w:rsidRDefault="005C4180" w:rsidP="005C4180">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рассмотрения </w:t>
            </w:r>
            <w:proofErr w:type="gramStart"/>
            <w:r w:rsidRPr="00A15913">
              <w:rPr>
                <w:sz w:val="20"/>
                <w:szCs w:val="20"/>
              </w:rPr>
              <w:t>заявок,  дата</w:t>
            </w:r>
            <w:proofErr w:type="gramEnd"/>
            <w:r w:rsidRPr="00A15913">
              <w:rPr>
                <w:sz w:val="20"/>
                <w:szCs w:val="20"/>
              </w:rPr>
              <w:t xml:space="preserve">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005C4180" w:rsidRPr="00DA7D5A">
              <w:rPr>
                <w:b/>
                <w:sz w:val="20"/>
                <w:szCs w:val="20"/>
              </w:rPr>
              <w:t>не позднее 11.11.2021 17</w:t>
            </w:r>
            <w:r w:rsidR="005C4180">
              <w:rPr>
                <w:b/>
                <w:sz w:val="20"/>
                <w:szCs w:val="20"/>
              </w:rPr>
              <w:t>.00</w:t>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lastRenderedPageBreak/>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452592" w:rsidP="00221480">
                  <w:pPr>
                    <w:pStyle w:val="afffffff8"/>
                    <w:jc w:val="center"/>
                    <w:rPr>
                      <w:b/>
                      <w:bCs/>
                      <w:sz w:val="20"/>
                      <w:szCs w:val="20"/>
                    </w:rPr>
                  </w:pPr>
                  <w:r w:rsidRPr="00EC0F77">
                    <w:rPr>
                      <w:b/>
                      <w:bCs/>
                      <w:sz w:val="20"/>
                      <w:szCs w:val="20"/>
                    </w:rPr>
                    <w:t>3</w:t>
                  </w:r>
                  <w:r w:rsidR="00221480" w:rsidRPr="00EC0F77">
                    <w:rPr>
                      <w:b/>
                      <w:bCs/>
                      <w:sz w:val="20"/>
                      <w:szCs w:val="20"/>
                    </w:rPr>
                    <w:t>0%</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452592" w:rsidP="00221480">
                  <w:pPr>
                    <w:pStyle w:val="afffffff8"/>
                    <w:jc w:val="center"/>
                    <w:rPr>
                      <w:b/>
                      <w:bCs/>
                      <w:sz w:val="20"/>
                      <w:szCs w:val="20"/>
                    </w:rPr>
                  </w:pPr>
                  <w:r w:rsidRPr="00EC0F77">
                    <w:rPr>
                      <w:b/>
                      <w:bCs/>
                      <w:sz w:val="20"/>
                      <w:szCs w:val="20"/>
                    </w:rPr>
                    <w:t>7</w:t>
                  </w:r>
                  <w:r w:rsidR="00221480" w:rsidRPr="00EC0F77">
                    <w:rPr>
                      <w:b/>
                      <w:bCs/>
                      <w:sz w:val="20"/>
                      <w:szCs w:val="20"/>
                    </w:rPr>
                    <w:t>0%</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22" o:title=""/>
                      </v:shape>
                      <o:OLEObject Type="Embed" ProgID="Equation.3" ShapeID="_x0000_i1025" DrawAspect="Content" ObjectID="_1696680412"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92262E" w:rsidRPr="00C6700E" w:rsidRDefault="0092262E" w:rsidP="00B76968">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92262E" w:rsidRPr="00C6700E" w:rsidRDefault="0092262E" w:rsidP="00B76968">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92262E" w:rsidRDefault="0092262E" w:rsidP="00B76968">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Pr>
                <w:rFonts w:eastAsia="Calibri"/>
                <w:sz w:val="20"/>
                <w:szCs w:val="20"/>
                <w:lang w:eastAsia="en-US"/>
              </w:rPr>
              <w:t>вии с Положениями гл. 21 НК РФ.</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0.4</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proofErr w:type="gramStart"/>
            <w:r>
              <w:rPr>
                <w:rFonts w:eastAsia="Calibri"/>
                <w:bCs/>
                <w:sz w:val="18"/>
                <w:szCs w:val="18"/>
                <w:lang w:eastAsia="en-US"/>
              </w:rPr>
              <w:t>=(</w:t>
            </w:r>
            <w:proofErr w:type="gramEnd"/>
            <w:r>
              <w:rPr>
                <w:rFonts w:eastAsia="Calibri"/>
                <w:bCs/>
                <w:sz w:val="18"/>
                <w:szCs w:val="18"/>
                <w:lang w:eastAsia="en-US"/>
              </w:rPr>
              <w:t>(</w:t>
            </w:r>
            <w:proofErr w:type="spellStart"/>
            <w:r>
              <w:rPr>
                <w:rFonts w:eastAsia="Calibri"/>
                <w:bCs/>
                <w:sz w:val="18"/>
                <w:szCs w:val="18"/>
                <w:lang w:eastAsia="en-US"/>
              </w:rPr>
              <w:t>Сmax</w:t>
            </w:r>
            <w:proofErr w:type="spellEnd"/>
            <w:r>
              <w:rPr>
                <w:rFonts w:eastAsia="Calibri"/>
                <w:bCs/>
                <w:sz w:val="18"/>
                <w:szCs w:val="18"/>
                <w:lang w:eastAsia="en-US"/>
              </w:rPr>
              <w:t xml:space="preserve"> – </w:t>
            </w:r>
            <w:proofErr w:type="spellStart"/>
            <w:r>
              <w:rPr>
                <w:rFonts w:eastAsia="Calibri"/>
                <w:bCs/>
                <w:sz w:val="18"/>
                <w:szCs w:val="18"/>
                <w:lang w:eastAsia="en-US"/>
              </w:rPr>
              <w:t>Сi</w:t>
            </w:r>
            <w:proofErr w:type="spellEnd"/>
            <w:r>
              <w:rPr>
                <w:rFonts w:eastAsia="Calibri"/>
                <w:bCs/>
                <w:sz w:val="18"/>
                <w:szCs w:val="18"/>
                <w:lang w:eastAsia="en-US"/>
              </w:rPr>
              <w:t>)/(</w:t>
            </w:r>
            <w:proofErr w:type="spellStart"/>
            <w:r>
              <w:rPr>
                <w:rFonts w:eastAsia="Calibri"/>
                <w:bCs/>
                <w:sz w:val="18"/>
                <w:szCs w:val="18"/>
                <w:lang w:eastAsia="en-US"/>
              </w:rPr>
              <w:t>Сmax-Сmin</w:t>
            </w:r>
            <w:proofErr w:type="spellEnd"/>
            <w:r>
              <w:rPr>
                <w:rFonts w:eastAsia="Calibri"/>
                <w:bCs/>
                <w:sz w:val="18"/>
                <w:szCs w:val="18"/>
                <w:lang w:eastAsia="en-US"/>
              </w:rPr>
              <w:t>))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0.</w:t>
            </w:r>
            <w:r w:rsidR="00452592" w:rsidRPr="00DC4C6C">
              <w:rPr>
                <w:rFonts w:eastAsia="Calibri"/>
                <w:sz w:val="20"/>
                <w:szCs w:val="20"/>
                <w:lang w:eastAsia="en-US"/>
              </w:rPr>
              <w:t>2</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400E8B">
            <w:pP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bookmarkStart w:id="57" w:name="_GoBack"/>
            <w:bookmarkEnd w:id="57"/>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lastRenderedPageBreak/>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452592" w:rsidRPr="0059627B">
              <w:rPr>
                <w:rFonts w:eastAsia="Calibri"/>
                <w:sz w:val="20"/>
                <w:szCs w:val="20"/>
                <w:lang w:eastAsia="en-US"/>
              </w:rPr>
              <w:t>4</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lastRenderedPageBreak/>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4B1325">
      <w:pPr>
        <w:tabs>
          <w:tab w:val="left" w:pos="3686"/>
        </w:tabs>
        <w:rPr>
          <w:sz w:val="26"/>
          <w:szCs w:val="26"/>
        </w:rPr>
      </w:pPr>
    </w:p>
    <w:p w:rsidR="0092262E" w:rsidRPr="0092262E" w:rsidRDefault="0092262E" w:rsidP="0092262E">
      <w:pPr>
        <w:rPr>
          <w:sz w:val="26"/>
          <w:szCs w:val="26"/>
        </w:rPr>
      </w:pPr>
    </w:p>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8" w:name="_Toc121738778"/>
    </w:p>
    <w:bookmarkEnd w:id="58"/>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9"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proofErr w:type="gramStart"/>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w:t>
      </w:r>
      <w:proofErr w:type="gramEnd"/>
      <w:r w:rsidR="00D31F77">
        <w:rPr>
          <w:rFonts w:eastAsia="Arial Unicode MS"/>
          <w:bCs/>
          <w:i/>
          <w:sz w:val="20"/>
          <w:szCs w:val="20"/>
        </w:rPr>
        <w:t xml:space="preserve">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9"/>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60"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60"/>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xml:space="preserve">, </w:t>
      </w:r>
      <w:proofErr w:type="gramStart"/>
      <w:r w:rsidR="00071B4F">
        <w:rPr>
          <w:sz w:val="21"/>
          <w:szCs w:val="21"/>
        </w:rPr>
        <w:t>с реестровым номером закупки</w:t>
      </w:r>
      <w:proofErr w:type="gramEnd"/>
      <w:r w:rsidR="00071B4F">
        <w:rPr>
          <w:sz w:val="21"/>
          <w:szCs w:val="21"/>
        </w:rPr>
        <w:t xml:space="preserve">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w:t>
      </w:r>
      <w:proofErr w:type="gramStart"/>
      <w:r w:rsidR="00C1460D" w:rsidRPr="005111EB">
        <w:rPr>
          <w:sz w:val="21"/>
          <w:szCs w:val="21"/>
        </w:rPr>
        <w:t>Документацией  в</w:t>
      </w:r>
      <w:proofErr w:type="gramEnd"/>
      <w:r w:rsidR="00C1460D" w:rsidRPr="005111EB">
        <w:rPr>
          <w:sz w:val="21"/>
          <w:szCs w:val="21"/>
        </w:rPr>
        <w:t xml:space="preserve">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 xml:space="preserve">маркетинговых </w:t>
      </w:r>
      <w:proofErr w:type="gramStart"/>
      <w:r w:rsidR="00D31F77">
        <w:rPr>
          <w:sz w:val="21"/>
          <w:szCs w:val="21"/>
        </w:rPr>
        <w:t>исследований</w:t>
      </w:r>
      <w:r w:rsidR="00BB26B4" w:rsidRPr="00BB26B4">
        <w:rPr>
          <w:sz w:val="21"/>
          <w:szCs w:val="21"/>
        </w:rPr>
        <w:t xml:space="preserve">, </w:t>
      </w:r>
      <w:r w:rsidR="002206D2" w:rsidRPr="00BB26B4">
        <w:rPr>
          <w:sz w:val="21"/>
          <w:szCs w:val="21"/>
        </w:rPr>
        <w:t xml:space="preserve"> Участник</w:t>
      </w:r>
      <w:proofErr w:type="gramEnd"/>
      <w:r w:rsidR="002206D2" w:rsidRPr="00BB26B4">
        <w:rPr>
          <w:sz w:val="21"/>
          <w:szCs w:val="21"/>
        </w:rPr>
        <w:t xml:space="preserve">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w:t>
      </w:r>
      <w:proofErr w:type="gramStart"/>
      <w:r w:rsidRPr="002206D2">
        <w:rPr>
          <w:i/>
          <w:sz w:val="18"/>
          <w:szCs w:val="18"/>
        </w:rPr>
        <w:t>В</w:t>
      </w:r>
      <w:proofErr w:type="gramEnd"/>
      <w:r w:rsidRPr="002206D2">
        <w:rPr>
          <w:i/>
          <w:sz w:val="18"/>
          <w:szCs w:val="18"/>
        </w:rPr>
        <w:t xml:space="preserve">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w:t>
      </w:r>
      <w:proofErr w:type="gramStart"/>
      <w:r w:rsidRPr="00483FF1">
        <w:rPr>
          <w:i/>
          <w:sz w:val="20"/>
        </w:rPr>
        <w:t xml:space="preserve">Участника  </w:t>
      </w:r>
      <w:r w:rsidR="00D31F77">
        <w:rPr>
          <w:i/>
          <w:sz w:val="20"/>
        </w:rPr>
        <w:t>маркетинговых</w:t>
      </w:r>
      <w:proofErr w:type="gramEnd"/>
      <w:r w:rsidR="00D31F77">
        <w:rPr>
          <w:i/>
          <w:sz w:val="20"/>
        </w:rPr>
        <w:t xml:space="preserve">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w:t>
      </w:r>
      <w:proofErr w:type="gramStart"/>
      <w:r w:rsidRPr="001A6641">
        <w:rPr>
          <w:i/>
          <w:sz w:val="20"/>
        </w:rPr>
        <w:t xml:space="preserve">Участника  </w:t>
      </w:r>
      <w:r w:rsidR="00D31F77">
        <w:rPr>
          <w:i/>
          <w:sz w:val="20"/>
        </w:rPr>
        <w:t>маркетинговых</w:t>
      </w:r>
      <w:proofErr w:type="gramEnd"/>
      <w:r w:rsidR="00D31F77">
        <w:rPr>
          <w:i/>
          <w:sz w:val="20"/>
        </w:rPr>
        <w:t xml:space="preserve">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 xml:space="preserve">маркетинговых </w:t>
      </w:r>
      <w:proofErr w:type="gramStart"/>
      <w:r w:rsidR="00D31F77">
        <w:rPr>
          <w:sz w:val="21"/>
          <w:szCs w:val="21"/>
        </w:rPr>
        <w:t>исследований</w:t>
      </w:r>
      <w:r w:rsidRPr="00361B14">
        <w:rPr>
          <w:sz w:val="21"/>
          <w:szCs w:val="21"/>
        </w:rPr>
        <w:t xml:space="preserve">  -</w:t>
      </w:r>
      <w:proofErr w:type="gramEnd"/>
      <w:r w:rsidRPr="00361B14">
        <w:rPr>
          <w:sz w:val="21"/>
          <w:szCs w:val="21"/>
        </w:rPr>
        <w:t xml:space="preserve">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w:t>
      </w:r>
      <w:proofErr w:type="spellStart"/>
      <w:r w:rsidR="005111EB">
        <w:rPr>
          <w:sz w:val="21"/>
          <w:szCs w:val="21"/>
        </w:rPr>
        <w:t>Челябинскгоргаз</w:t>
      </w:r>
      <w:proofErr w:type="spellEnd"/>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w:t>
      </w:r>
      <w:proofErr w:type="gramStart"/>
      <w:r w:rsidR="00BC707E" w:rsidRPr="00BC707E">
        <w:rPr>
          <w:i/>
          <w:sz w:val="21"/>
          <w:szCs w:val="21"/>
        </w:rPr>
        <w:t>должность,  телефон</w:t>
      </w:r>
      <w:proofErr w:type="gramEnd"/>
      <w:r w:rsidR="00BC707E" w:rsidRPr="00BC707E">
        <w:rPr>
          <w:i/>
          <w:sz w:val="21"/>
          <w:szCs w:val="21"/>
        </w:rPr>
        <w:t xml:space="preserve">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w:t>
      </w:r>
      <w:proofErr w:type="gramStart"/>
      <w:r w:rsidRPr="00CD203C">
        <w:rPr>
          <w:sz w:val="20"/>
          <w:szCs w:val="20"/>
        </w:rPr>
        <w:t>в случае</w:t>
      </w:r>
      <w:proofErr w:type="gramEnd"/>
      <w:r w:rsidRPr="00CD203C">
        <w:rPr>
          <w:sz w:val="20"/>
          <w:szCs w:val="20"/>
        </w:rPr>
        <w:t xml:space="preserve">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w:t>
      </w:r>
      <w:proofErr w:type="gramStart"/>
      <w:r w:rsidRPr="00BB26B4">
        <w:rPr>
          <w:i/>
          <w:sz w:val="18"/>
          <w:szCs w:val="18"/>
        </w:rPr>
        <w:t xml:space="preserve">Участника  </w:t>
      </w:r>
      <w:r w:rsidR="00D31F77">
        <w:rPr>
          <w:i/>
          <w:sz w:val="18"/>
          <w:szCs w:val="18"/>
        </w:rPr>
        <w:t>маркетинговых</w:t>
      </w:r>
      <w:proofErr w:type="gramEnd"/>
      <w:r w:rsidR="00D31F77">
        <w:rPr>
          <w:i/>
          <w:sz w:val="18"/>
          <w:szCs w:val="18"/>
        </w:rPr>
        <w:t xml:space="preserve">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w:t>
      </w:r>
      <w:proofErr w:type="gramStart"/>
      <w:r w:rsidRPr="00BB26B4">
        <w:rPr>
          <w:i/>
          <w:sz w:val="21"/>
          <w:szCs w:val="21"/>
        </w:rPr>
        <w:t xml:space="preserve">вариантов)  </w:t>
      </w:r>
      <w:r w:rsidRPr="00BB26B4">
        <w:rPr>
          <w:sz w:val="21"/>
          <w:szCs w:val="21"/>
        </w:rPr>
        <w:t>в</w:t>
      </w:r>
      <w:proofErr w:type="gramEnd"/>
      <w:r w:rsidRPr="00BB26B4">
        <w:rPr>
          <w:sz w:val="21"/>
          <w:szCs w:val="21"/>
        </w:rPr>
        <w:t xml:space="preserve">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w:t>
      </w:r>
      <w:proofErr w:type="spellStart"/>
      <w:r w:rsidRPr="00174914">
        <w:rPr>
          <w:rFonts w:eastAsiaTheme="minorEastAsia"/>
          <w:sz w:val="22"/>
          <w:szCs w:val="22"/>
        </w:rPr>
        <w:t>Челябинскгоргаз</w:t>
      </w:r>
      <w:proofErr w:type="spellEnd"/>
      <w:r w:rsidRPr="00174914">
        <w:rPr>
          <w:rFonts w:eastAsiaTheme="minorEastAsia"/>
          <w:sz w:val="22"/>
          <w:szCs w:val="22"/>
        </w:rPr>
        <w:t>»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w:t>
      </w:r>
      <w:proofErr w:type="spellStart"/>
      <w:r w:rsidR="00D9336D">
        <w:rPr>
          <w:color w:val="000000"/>
          <w:sz w:val="26"/>
          <w:szCs w:val="26"/>
        </w:rPr>
        <w:t>Челябинскгоргаз</w:t>
      </w:r>
      <w:proofErr w:type="spellEnd"/>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w:t>
      </w:r>
      <w:proofErr w:type="gramStart"/>
      <w:r w:rsidRPr="00262C92">
        <w:rPr>
          <w:color w:val="000000"/>
          <w:sz w:val="26"/>
          <w:szCs w:val="26"/>
          <w:vertAlign w:val="superscript"/>
        </w:rPr>
        <w:t xml:space="preserve">удостоверяемого)   </w:t>
      </w:r>
      <w:proofErr w:type="gramEnd"/>
      <w:r w:rsidRPr="00262C92">
        <w:rPr>
          <w:color w:val="000000"/>
          <w:sz w:val="26"/>
          <w:szCs w:val="26"/>
          <w:vertAlign w:val="superscript"/>
        </w:rPr>
        <w:t xml:space="preserve">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 xml:space="preserve">Доверенность </w:t>
      </w:r>
      <w:proofErr w:type="gramStart"/>
      <w:r w:rsidRPr="00262C92">
        <w:rPr>
          <w:color w:val="000000"/>
          <w:sz w:val="26"/>
          <w:szCs w:val="26"/>
        </w:rPr>
        <w:t>действительна  по</w:t>
      </w:r>
      <w:proofErr w:type="gramEnd"/>
      <w:r w:rsidRPr="00262C92">
        <w:rPr>
          <w:color w:val="000000"/>
          <w:sz w:val="26"/>
          <w:szCs w:val="26"/>
        </w:rPr>
        <w:t xml:space="preserve">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w:t>
      </w:r>
      <w:proofErr w:type="gramStart"/>
      <w:r w:rsidRPr="00CF20E6">
        <w:rPr>
          <w:color w:val="000000"/>
          <w:sz w:val="20"/>
          <w:szCs w:val="20"/>
        </w:rPr>
        <w:t xml:space="preserve">подпись)   </w:t>
      </w:r>
      <w:proofErr w:type="gramEnd"/>
      <w:r w:rsidRPr="00CF20E6">
        <w:rPr>
          <w:color w:val="000000"/>
          <w:sz w:val="20"/>
          <w:szCs w:val="20"/>
        </w:rPr>
        <w:t xml:space="preserve">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C6" w:rsidRDefault="00465DC6">
      <w:r>
        <w:separator/>
      </w:r>
    </w:p>
  </w:endnote>
  <w:endnote w:type="continuationSeparator" w:id="0">
    <w:p w:rsidR="00465DC6" w:rsidRDefault="0046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C6" w:rsidRDefault="00465DC6">
      <w:r>
        <w:separator/>
      </w:r>
    </w:p>
  </w:footnote>
  <w:footnote w:type="continuationSeparator" w:id="0">
    <w:p w:rsidR="00465DC6" w:rsidRDefault="00465DC6">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400E8B">
          <w:rPr>
            <w:noProof/>
          </w:rPr>
          <w:t>31</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4E6"/>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6C"/>
    <w:rsid w:val="00260807"/>
    <w:rsid w:val="002609DF"/>
    <w:rsid w:val="00261343"/>
    <w:rsid w:val="00261406"/>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0E8B"/>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0C46"/>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DC6"/>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80"/>
    <w:rsid w:val="005C41A3"/>
    <w:rsid w:val="005C44D3"/>
    <w:rsid w:val="005C47F7"/>
    <w:rsid w:val="005C66AB"/>
    <w:rsid w:val="005C66AF"/>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3F0E"/>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858"/>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4EF"/>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6B1"/>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6662"/>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3C7"/>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65A"/>
    <w:rsid w:val="00CB46F5"/>
    <w:rsid w:val="00CB496B"/>
    <w:rsid w:val="00CB4B99"/>
    <w:rsid w:val="00CB5133"/>
    <w:rsid w:val="00CB5163"/>
    <w:rsid w:val="00CB5730"/>
    <w:rsid w:val="00CB7241"/>
    <w:rsid w:val="00CC02B4"/>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4E3"/>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C74A6"/>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1887-1F7F-4710-BC87-9F918024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9</TotalTime>
  <Pages>35</Pages>
  <Words>15974</Words>
  <Characters>91054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106815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9</cp:revision>
  <cp:lastPrinted>2020-05-12T02:13:00Z</cp:lastPrinted>
  <dcterms:created xsi:type="dcterms:W3CDTF">2021-10-25T09:55:00Z</dcterms:created>
  <dcterms:modified xsi:type="dcterms:W3CDTF">2021-10-25T10:20:00Z</dcterms:modified>
</cp:coreProperties>
</file>