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795A18">
        <w:rPr>
          <w:rFonts w:ascii="Times New Roman" w:hAnsi="Times New Roman"/>
        </w:rPr>
        <w:t>1407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3F2163" w:rsidRDefault="003F2163" w:rsidP="00E20138">
            <w:pPr>
              <w:rPr>
                <w:sz w:val="22"/>
                <w:szCs w:val="22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lang w:val="en-US"/>
              </w:rPr>
              <w:t>M.Popova@chelgaz.ru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CE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CE7D25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CE7D25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3F2163" w:rsidRPr="003F2163">
              <w:rPr>
                <w:rFonts w:ascii="Times New Roman CYR" w:eastAsia="Calibri" w:hAnsi="Times New Roman CYR" w:cs="Times New Roman CYR"/>
                <w:lang w:val="en-US"/>
              </w:rPr>
              <w:t>M.Popova@chelgaz.ru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CC3834" w:rsidP="003F2163">
            <w:pPr>
              <w:pStyle w:val="a8"/>
            </w:pPr>
            <w:r>
              <w:t xml:space="preserve"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ул. </w:t>
            </w:r>
            <w:proofErr w:type="gramStart"/>
            <w:r w:rsidR="003F2163">
              <w:t>Рубиновая,  49</w:t>
            </w:r>
            <w:proofErr w:type="gramEnd"/>
            <w:r w:rsidR="003F2163">
              <w:t xml:space="preserve"> А</w:t>
            </w:r>
            <w:r>
              <w:t>. Технологическое присоединение».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CE7D25" w:rsidRPr="00475194" w:rsidRDefault="003F2163" w:rsidP="00CE7D25">
            <w:pPr>
              <w:pStyle w:val="ab"/>
              <w:rPr>
                <w:b/>
              </w:rPr>
            </w:pPr>
            <w:r w:rsidRPr="003F2163">
              <w:rPr>
                <w:b/>
                <w:lang w:eastAsia="en-US"/>
              </w:rPr>
              <w:t xml:space="preserve">668 575,73 </w:t>
            </w:r>
            <w:r w:rsidR="00CE7D25" w:rsidRPr="00475194">
              <w:rPr>
                <w:b/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CE7D25" w:rsidRPr="00475194" w:rsidRDefault="003F2163" w:rsidP="00CE7D25">
            <w:pPr>
              <w:pStyle w:val="ab"/>
              <w:rPr>
                <w:b/>
              </w:rPr>
            </w:pPr>
            <w:r w:rsidRPr="003F2163">
              <w:rPr>
                <w:b/>
                <w:lang w:eastAsia="en-US"/>
              </w:rPr>
              <w:t xml:space="preserve">557 146,44 </w:t>
            </w:r>
            <w:r w:rsidR="00CE7D25" w:rsidRPr="00475194">
              <w:rPr>
                <w:b/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795A18">
              <w:t>21.10.2021 00:00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795A18">
              <w:rPr>
                <w:noProof/>
              </w:rPr>
              <w:t>27.10.2021 23:59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795A18">
              <w:rPr>
                <w:noProof/>
              </w:rPr>
              <w:t>28.10.2021 00:00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344EBD">
              <w:rPr>
                <w:noProof/>
              </w:rPr>
              <w:t>29.1</w:t>
            </w:r>
            <w:bookmarkStart w:id="0" w:name="_GoBack"/>
            <w:bookmarkEnd w:id="0"/>
            <w:r w:rsidR="00795A18">
              <w:rPr>
                <w:noProof/>
              </w:rPr>
              <w:t>0.2021 16:00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344EBD">
              <w:rPr>
                <w:noProof/>
              </w:rPr>
              <w:t>29.1</w:t>
            </w:r>
            <w:r w:rsidR="00795A18">
              <w:rPr>
                <w:noProof/>
              </w:rPr>
              <w:t xml:space="preserve">0.2021 </w:t>
            </w:r>
            <w:proofErr w:type="gramStart"/>
            <w:r w:rsidR="00795A18">
              <w:rPr>
                <w:noProof/>
              </w:rPr>
              <w:t>16:01</w:t>
            </w:r>
            <w:r w:rsidR="00795A18" w:rsidRPr="00795A18">
              <w:rPr>
                <w:noProof/>
              </w:rPr>
              <w:t xml:space="preserve"> 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</w:t>
            </w:r>
            <w:proofErr w:type="gramEnd"/>
            <w:r w:rsidR="00FA307D" w:rsidRPr="00EB0846">
              <w:rPr>
                <w:noProof/>
              </w:rPr>
              <w:t>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795A18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795A18">
              <w:rPr>
                <w:sz w:val="22"/>
              </w:rPr>
              <w:t>02.11.2021 17:00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795A18">
              <w:rPr>
                <w:noProof/>
              </w:rPr>
              <w:t>09</w:t>
            </w:r>
            <w:r w:rsidR="00795A18" w:rsidRPr="00795A18">
              <w:rPr>
                <w:noProof/>
              </w:rPr>
              <w:t>.11.2021 17:00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795A18">
            <w:pPr>
              <w:pStyle w:val="a8"/>
            </w:pPr>
            <w:r>
              <w:t>20.10.2021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3B" w:rsidRDefault="00435B3B" w:rsidP="000C580E">
      <w:r>
        <w:separator/>
      </w:r>
    </w:p>
  </w:endnote>
  <w:endnote w:type="continuationSeparator" w:id="0">
    <w:p w:rsidR="00435B3B" w:rsidRDefault="00435B3B" w:rsidP="000C580E">
      <w:r>
        <w:continuationSeparator/>
      </w:r>
    </w:p>
  </w:endnote>
  <w:endnote w:type="continuationNotice" w:id="1">
    <w:p w:rsidR="00435B3B" w:rsidRDefault="00435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344EBD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344EBD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3B" w:rsidRDefault="00435B3B" w:rsidP="000C580E">
      <w:r>
        <w:separator/>
      </w:r>
    </w:p>
  </w:footnote>
  <w:footnote w:type="continuationSeparator" w:id="0">
    <w:p w:rsidR="00435B3B" w:rsidRDefault="00435B3B" w:rsidP="000C580E">
      <w:r>
        <w:continuationSeparator/>
      </w:r>
    </w:p>
  </w:footnote>
  <w:footnote w:type="continuationNotice" w:id="1">
    <w:p w:rsidR="00435B3B" w:rsidRDefault="00435B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229DA"/>
    <w:rsid w:val="0033699D"/>
    <w:rsid w:val="00344EBD"/>
    <w:rsid w:val="00345860"/>
    <w:rsid w:val="00347834"/>
    <w:rsid w:val="00371084"/>
    <w:rsid w:val="00390990"/>
    <w:rsid w:val="003B4C10"/>
    <w:rsid w:val="003E100B"/>
    <w:rsid w:val="003F2163"/>
    <w:rsid w:val="003F5EA4"/>
    <w:rsid w:val="003F7AE1"/>
    <w:rsid w:val="0041431F"/>
    <w:rsid w:val="004359D9"/>
    <w:rsid w:val="00435B3B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C06D7"/>
    <w:rsid w:val="004E10B8"/>
    <w:rsid w:val="004F3332"/>
    <w:rsid w:val="0051023E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52399"/>
    <w:rsid w:val="00775CDD"/>
    <w:rsid w:val="00783ED4"/>
    <w:rsid w:val="00786C7C"/>
    <w:rsid w:val="00795194"/>
    <w:rsid w:val="00795A18"/>
    <w:rsid w:val="00796044"/>
    <w:rsid w:val="007A25EE"/>
    <w:rsid w:val="007C01C6"/>
    <w:rsid w:val="007F7E93"/>
    <w:rsid w:val="00842496"/>
    <w:rsid w:val="00862CB1"/>
    <w:rsid w:val="00866E96"/>
    <w:rsid w:val="0087592F"/>
    <w:rsid w:val="008B3B16"/>
    <w:rsid w:val="008C7405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64CC9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8036F"/>
    <w:rsid w:val="00AB2C23"/>
    <w:rsid w:val="00AB4FF8"/>
    <w:rsid w:val="00AB583E"/>
    <w:rsid w:val="00AC3429"/>
    <w:rsid w:val="00AE7123"/>
    <w:rsid w:val="00B1284F"/>
    <w:rsid w:val="00B13F8C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3834"/>
    <w:rsid w:val="00CC7287"/>
    <w:rsid w:val="00CD23A0"/>
    <w:rsid w:val="00CD4697"/>
    <w:rsid w:val="00CE0975"/>
    <w:rsid w:val="00CE3CD8"/>
    <w:rsid w:val="00CE7D25"/>
    <w:rsid w:val="00D26576"/>
    <w:rsid w:val="00D40A9F"/>
    <w:rsid w:val="00D50F98"/>
    <w:rsid w:val="00D71F22"/>
    <w:rsid w:val="00D7536C"/>
    <w:rsid w:val="00D92561"/>
    <w:rsid w:val="00DA250A"/>
    <w:rsid w:val="00DA5F65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DF7"/>
    <w:rsid w:val="00E95FF1"/>
    <w:rsid w:val="00EA191D"/>
    <w:rsid w:val="00EA293A"/>
    <w:rsid w:val="00ED2F61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0E912-EE26-4503-9BF5-444D8F90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Попова Марина Валерьевна</cp:lastModifiedBy>
  <cp:revision>3</cp:revision>
  <dcterms:created xsi:type="dcterms:W3CDTF">2021-10-20T05:22:00Z</dcterms:created>
  <dcterms:modified xsi:type="dcterms:W3CDTF">2021-10-20T05:34:00Z</dcterms:modified>
</cp:coreProperties>
</file>